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761" w:rsidRDefault="005A1469" w:rsidP="005A1469">
      <w:pPr>
        <w:jc w:val="center"/>
        <w:rPr>
          <w:rFonts w:ascii="Times New Roman" w:hAnsi="Times New Roman" w:cs="Times New Roman"/>
          <w:b/>
          <w:sz w:val="40"/>
          <w:szCs w:val="40"/>
        </w:rPr>
      </w:pPr>
      <w:r w:rsidRPr="005A1469">
        <w:rPr>
          <w:rFonts w:ascii="Times New Roman" w:hAnsi="Times New Roman" w:cs="Times New Roman"/>
          <w:b/>
          <w:sz w:val="40"/>
          <w:szCs w:val="40"/>
        </w:rPr>
        <w:t>Attachment J</w:t>
      </w:r>
    </w:p>
    <w:p w:rsidR="005A1469" w:rsidRDefault="005A1469" w:rsidP="005A1469">
      <w:pPr>
        <w:jc w:val="center"/>
        <w:rPr>
          <w:rFonts w:ascii="Times New Roman" w:hAnsi="Times New Roman" w:cs="Times New Roman"/>
          <w:b/>
          <w:sz w:val="40"/>
          <w:szCs w:val="40"/>
        </w:rPr>
      </w:pPr>
      <w:r>
        <w:rPr>
          <w:rFonts w:ascii="Times New Roman" w:hAnsi="Times New Roman" w:cs="Times New Roman"/>
          <w:b/>
          <w:sz w:val="40"/>
          <w:szCs w:val="40"/>
        </w:rPr>
        <w:t>New Applicable Requirements,</w:t>
      </w:r>
    </w:p>
    <w:p w:rsidR="005A1469" w:rsidRDefault="005A1469" w:rsidP="005A1469">
      <w:pPr>
        <w:jc w:val="center"/>
        <w:rPr>
          <w:rFonts w:ascii="Times New Roman" w:hAnsi="Times New Roman" w:cs="Times New Roman"/>
          <w:b/>
          <w:sz w:val="40"/>
          <w:szCs w:val="40"/>
        </w:rPr>
      </w:pPr>
      <w:proofErr w:type="gramStart"/>
      <w:r>
        <w:rPr>
          <w:rFonts w:ascii="Times New Roman" w:hAnsi="Times New Roman" w:cs="Times New Roman"/>
          <w:b/>
          <w:sz w:val="40"/>
          <w:szCs w:val="40"/>
        </w:rPr>
        <w:t>Monitoring,</w:t>
      </w:r>
      <w:proofErr w:type="gramEnd"/>
      <w:r>
        <w:rPr>
          <w:rFonts w:ascii="Times New Roman" w:hAnsi="Times New Roman" w:cs="Times New Roman"/>
          <w:b/>
          <w:sz w:val="40"/>
          <w:szCs w:val="40"/>
        </w:rPr>
        <w:t xml:space="preserve"> and Recordkeeping</w:t>
      </w:r>
    </w:p>
    <w:p w:rsidR="005A1469" w:rsidRDefault="005A1469" w:rsidP="005A1469">
      <w:pPr>
        <w:jc w:val="center"/>
        <w:rPr>
          <w:rFonts w:ascii="Times New Roman" w:hAnsi="Times New Roman" w:cs="Times New Roman"/>
          <w:b/>
          <w:sz w:val="40"/>
          <w:szCs w:val="40"/>
        </w:rPr>
      </w:pPr>
      <w:r>
        <w:rPr>
          <w:rFonts w:ascii="Times New Roman" w:hAnsi="Times New Roman" w:cs="Times New Roman"/>
          <w:b/>
          <w:sz w:val="40"/>
          <w:szCs w:val="40"/>
        </w:rPr>
        <w:t>Proposed for Incorporation at</w:t>
      </w:r>
    </w:p>
    <w:p w:rsidR="005A1469" w:rsidRDefault="005A1469" w:rsidP="005A1469">
      <w:pPr>
        <w:jc w:val="center"/>
        <w:rPr>
          <w:rFonts w:ascii="Times New Roman" w:hAnsi="Times New Roman" w:cs="Times New Roman"/>
          <w:b/>
          <w:sz w:val="40"/>
          <w:szCs w:val="40"/>
        </w:rPr>
      </w:pPr>
      <w:r>
        <w:rPr>
          <w:rFonts w:ascii="Times New Roman" w:hAnsi="Times New Roman" w:cs="Times New Roman"/>
          <w:b/>
          <w:sz w:val="40"/>
          <w:szCs w:val="40"/>
        </w:rPr>
        <w:t>Title V Permit Renewal</w:t>
      </w: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5A1469" w:rsidP="005A1469">
      <w:pPr>
        <w:jc w:val="center"/>
        <w:rPr>
          <w:rFonts w:ascii="Times New Roman" w:hAnsi="Times New Roman" w:cs="Times New Roman"/>
          <w:sz w:val="24"/>
          <w:szCs w:val="24"/>
        </w:rPr>
      </w:pPr>
    </w:p>
    <w:p w:rsidR="005A1469" w:rsidRDefault="00D00618" w:rsidP="005A1469">
      <w:pPr>
        <w:rPr>
          <w:rFonts w:ascii="Times New Roman" w:hAnsi="Times New Roman" w:cs="Times New Roman"/>
          <w:sz w:val="24"/>
          <w:szCs w:val="24"/>
        </w:rPr>
      </w:pPr>
      <w:proofErr w:type="spellStart"/>
      <w:r>
        <w:rPr>
          <w:rFonts w:ascii="Times New Roman" w:hAnsi="Times New Roman" w:cs="Times New Roman"/>
          <w:sz w:val="24"/>
          <w:szCs w:val="24"/>
        </w:rPr>
        <w:lastRenderedPageBreak/>
        <w:t>Dowtherm</w:t>
      </w:r>
      <w:proofErr w:type="spellEnd"/>
      <w:r>
        <w:rPr>
          <w:rFonts w:ascii="Times New Roman" w:hAnsi="Times New Roman" w:cs="Times New Roman"/>
          <w:sz w:val="24"/>
          <w:szCs w:val="24"/>
        </w:rPr>
        <w:t xml:space="preserve"> (B032) requirements from 40 C.F.R. Part 63, Subpart DDDDD</w:t>
      </w:r>
    </w:p>
    <w:p w:rsidR="00B2262A" w:rsidRDefault="00B2262A" w:rsidP="005A1469">
      <w:pPr>
        <w:rPr>
          <w:rFonts w:ascii="Times New Roman" w:hAnsi="Times New Roman" w:cs="Times New Roman"/>
          <w:sz w:val="24"/>
          <w:szCs w:val="24"/>
        </w:rPr>
      </w:pPr>
    </w:p>
    <w:p w:rsidR="00B2262A" w:rsidRPr="00B2262A" w:rsidRDefault="00B2262A" w:rsidP="005A1469">
      <w:pPr>
        <w:rPr>
          <w:rFonts w:ascii="Arial" w:hAnsi="Arial" w:cs="Arial"/>
          <w:b/>
          <w:sz w:val="20"/>
          <w:szCs w:val="20"/>
        </w:rPr>
      </w:pPr>
      <w:r w:rsidRPr="00B2262A">
        <w:rPr>
          <w:rFonts w:ascii="Arial" w:hAnsi="Arial" w:cs="Arial"/>
          <w:b/>
          <w:sz w:val="20"/>
          <w:szCs w:val="20"/>
        </w:rPr>
        <w:t>§63.7495   When do I have to comply with this subpart?</w:t>
      </w:r>
    </w:p>
    <w:p w:rsidR="00B2262A" w:rsidRDefault="00B2262A" w:rsidP="00B2262A">
      <w:pPr>
        <w:ind w:firstLine="720"/>
        <w:rPr>
          <w:rFonts w:ascii="Arial" w:hAnsi="Arial" w:cs="Arial"/>
          <w:sz w:val="20"/>
          <w:szCs w:val="20"/>
        </w:rPr>
      </w:pPr>
      <w:r>
        <w:rPr>
          <w:rFonts w:ascii="Arial" w:hAnsi="Arial" w:cs="Arial"/>
          <w:sz w:val="20"/>
          <w:szCs w:val="20"/>
        </w:rPr>
        <w:t>(b) If you have an existing process heater, you must comply with this subpart no later than January 31, 2016, except as provided in §63.6(</w:t>
      </w:r>
      <w:proofErr w:type="spellStart"/>
      <w:r>
        <w:rPr>
          <w:rFonts w:ascii="Arial" w:hAnsi="Arial" w:cs="Arial"/>
          <w:sz w:val="20"/>
          <w:szCs w:val="20"/>
        </w:rPr>
        <w:t>i</w:t>
      </w:r>
      <w:proofErr w:type="spellEnd"/>
      <w:r>
        <w:rPr>
          <w:rFonts w:ascii="Arial" w:hAnsi="Arial" w:cs="Arial"/>
          <w:sz w:val="20"/>
          <w:szCs w:val="20"/>
        </w:rPr>
        <w:t>).</w:t>
      </w:r>
      <w:r w:rsidR="00E924BA">
        <w:rPr>
          <w:rFonts w:ascii="Arial" w:hAnsi="Arial" w:cs="Arial"/>
          <w:sz w:val="20"/>
          <w:szCs w:val="20"/>
        </w:rPr>
        <w:t xml:space="preserve">  </w:t>
      </w:r>
      <w:r w:rsidR="00E924BA" w:rsidRPr="00E924BA">
        <w:rPr>
          <w:rFonts w:ascii="Arial" w:hAnsi="Arial" w:cs="Arial"/>
          <w:i/>
          <w:sz w:val="20"/>
          <w:szCs w:val="20"/>
        </w:rPr>
        <w:t xml:space="preserve">(Note:  Although this is listed as an applicable requirement, it was complied with </w:t>
      </w:r>
      <w:r w:rsidR="00E924BA">
        <w:rPr>
          <w:rFonts w:ascii="Arial" w:hAnsi="Arial" w:cs="Arial"/>
          <w:i/>
          <w:sz w:val="20"/>
          <w:szCs w:val="20"/>
        </w:rPr>
        <w:t xml:space="preserve">as noted in the </w:t>
      </w:r>
      <w:r w:rsidR="00E924BA" w:rsidRPr="00E924BA">
        <w:rPr>
          <w:rFonts w:ascii="Arial" w:hAnsi="Arial" w:cs="Arial"/>
          <w:i/>
          <w:sz w:val="20"/>
          <w:szCs w:val="20"/>
        </w:rPr>
        <w:t>submittal of NOCS dated March 16, 2016.</w:t>
      </w:r>
      <w:r w:rsidR="00E924BA">
        <w:rPr>
          <w:rFonts w:ascii="Arial" w:hAnsi="Arial" w:cs="Arial"/>
          <w:i/>
          <w:sz w:val="20"/>
          <w:szCs w:val="20"/>
        </w:rPr>
        <w:t xml:space="preserve">  Therefore, we consider this requirement obsolete.</w:t>
      </w:r>
      <w:r w:rsidR="00E924BA" w:rsidRPr="00E924BA">
        <w:rPr>
          <w:rFonts w:ascii="Arial" w:hAnsi="Arial" w:cs="Arial"/>
          <w:i/>
          <w:sz w:val="20"/>
          <w:szCs w:val="20"/>
        </w:rPr>
        <w:t>)</w:t>
      </w:r>
    </w:p>
    <w:p w:rsidR="00B2262A" w:rsidRDefault="00B2262A" w:rsidP="00B2262A">
      <w:pPr>
        <w:ind w:firstLine="720"/>
        <w:rPr>
          <w:rFonts w:ascii="Arial" w:hAnsi="Arial" w:cs="Arial"/>
          <w:sz w:val="20"/>
          <w:szCs w:val="20"/>
        </w:rPr>
      </w:pPr>
      <w:r>
        <w:rPr>
          <w:rFonts w:ascii="Arial" w:hAnsi="Arial" w:cs="Arial"/>
          <w:sz w:val="20"/>
          <w:szCs w:val="20"/>
        </w:rPr>
        <w:t>(d) You must meet the notification requirements in §63.7545 according to the schedule in §63.7545 and in subpart A of this part. Some of the notifications must be submitted before you are required to comply with the emission limits and work practice standards in this subpart.</w:t>
      </w:r>
      <w:r w:rsidR="0013181B">
        <w:rPr>
          <w:rFonts w:ascii="Arial" w:hAnsi="Arial" w:cs="Arial"/>
          <w:sz w:val="20"/>
          <w:szCs w:val="20"/>
        </w:rPr>
        <w:t xml:space="preserve">  </w:t>
      </w:r>
      <w:r w:rsidR="0013181B" w:rsidRPr="00E924BA">
        <w:rPr>
          <w:rFonts w:ascii="Arial" w:hAnsi="Arial" w:cs="Arial"/>
          <w:i/>
          <w:sz w:val="20"/>
          <w:szCs w:val="20"/>
        </w:rPr>
        <w:t xml:space="preserve">(Note:  Although this is listed as an applicable requirement, it was complied with by submittal of </w:t>
      </w:r>
      <w:r w:rsidR="00E924BA" w:rsidRPr="00E924BA">
        <w:rPr>
          <w:rFonts w:ascii="Arial" w:hAnsi="Arial" w:cs="Arial"/>
          <w:i/>
          <w:sz w:val="20"/>
          <w:szCs w:val="20"/>
        </w:rPr>
        <w:t>NOCS dated March 16, 2016.</w:t>
      </w:r>
      <w:r w:rsidR="00E924BA">
        <w:rPr>
          <w:rFonts w:ascii="Arial" w:hAnsi="Arial" w:cs="Arial"/>
          <w:i/>
          <w:sz w:val="20"/>
          <w:szCs w:val="20"/>
        </w:rPr>
        <w:t xml:space="preserve">  Therefore, we consider this requirement obsolete.</w:t>
      </w:r>
      <w:r w:rsidR="00E924BA" w:rsidRPr="00E924BA">
        <w:rPr>
          <w:rFonts w:ascii="Arial" w:hAnsi="Arial" w:cs="Arial"/>
          <w:i/>
          <w:sz w:val="20"/>
          <w:szCs w:val="20"/>
        </w:rPr>
        <w:t>)</w:t>
      </w:r>
    </w:p>
    <w:p w:rsidR="00B2262A" w:rsidRPr="00B2262A" w:rsidRDefault="00B2262A" w:rsidP="00B2262A">
      <w:pPr>
        <w:spacing w:before="200" w:after="100" w:line="240" w:lineRule="auto"/>
        <w:outlineLvl w:val="1"/>
        <w:rPr>
          <w:rFonts w:ascii="Arial" w:eastAsia="Times New Roman" w:hAnsi="Arial" w:cs="Arial"/>
          <w:b/>
          <w:bCs/>
          <w:sz w:val="20"/>
          <w:szCs w:val="20"/>
        </w:rPr>
      </w:pPr>
      <w:r w:rsidRPr="00B2262A">
        <w:rPr>
          <w:rFonts w:ascii="Arial" w:eastAsia="Times New Roman" w:hAnsi="Arial" w:cs="Arial"/>
          <w:b/>
          <w:bCs/>
          <w:sz w:val="20"/>
          <w:szCs w:val="20"/>
        </w:rPr>
        <w:t>§63.7500   </w:t>
      </w:r>
      <w:proofErr w:type="gramStart"/>
      <w:r w:rsidRPr="00B2262A">
        <w:rPr>
          <w:rFonts w:ascii="Arial" w:eastAsia="Times New Roman" w:hAnsi="Arial" w:cs="Arial"/>
          <w:b/>
          <w:bCs/>
          <w:sz w:val="20"/>
          <w:szCs w:val="20"/>
        </w:rPr>
        <w:t>What</w:t>
      </w:r>
      <w:proofErr w:type="gramEnd"/>
      <w:r w:rsidRPr="00B2262A">
        <w:rPr>
          <w:rFonts w:ascii="Arial" w:eastAsia="Times New Roman" w:hAnsi="Arial" w:cs="Arial"/>
          <w:b/>
          <w:bCs/>
          <w:sz w:val="20"/>
          <w:szCs w:val="20"/>
        </w:rPr>
        <w:t xml:space="preserve"> emission limitations, work practice standards, and operating limits must I meet?</w:t>
      </w:r>
    </w:p>
    <w:p w:rsidR="00B2262A" w:rsidRPr="00B2262A" w:rsidRDefault="00B2262A" w:rsidP="00B2262A">
      <w:pPr>
        <w:spacing w:before="100" w:beforeAutospacing="1" w:after="100" w:afterAutospacing="1" w:line="240" w:lineRule="auto"/>
        <w:ind w:firstLine="480"/>
        <w:rPr>
          <w:rFonts w:ascii="Arial" w:eastAsia="Times New Roman" w:hAnsi="Arial" w:cs="Arial"/>
          <w:sz w:val="20"/>
          <w:szCs w:val="20"/>
        </w:rPr>
      </w:pPr>
      <w:r w:rsidRPr="00B2262A">
        <w:rPr>
          <w:rFonts w:ascii="Arial" w:eastAsia="Times New Roman" w:hAnsi="Arial" w:cs="Arial"/>
          <w:sz w:val="20"/>
          <w:szCs w:val="20"/>
        </w:rPr>
        <w:t>(a) You must meet the requirements in paragraphs (a</w:t>
      </w:r>
      <w:proofErr w:type="gramStart"/>
      <w:r w:rsidRPr="00B2262A">
        <w:rPr>
          <w:rFonts w:ascii="Arial" w:eastAsia="Times New Roman" w:hAnsi="Arial" w:cs="Arial"/>
          <w:sz w:val="20"/>
          <w:szCs w:val="20"/>
        </w:rPr>
        <w:t>)(</w:t>
      </w:r>
      <w:proofErr w:type="gramEnd"/>
      <w:r w:rsidRPr="00B2262A">
        <w:rPr>
          <w:rFonts w:ascii="Arial" w:eastAsia="Times New Roman" w:hAnsi="Arial" w:cs="Arial"/>
          <w:sz w:val="20"/>
          <w:szCs w:val="20"/>
        </w:rPr>
        <w:t>1) through (3) of this section, except as provided in paragraphs (b), through (e) of this section. You must meet these requirements at all times the affected unit is operating, except as provided in paragraph (f) of this section.</w:t>
      </w:r>
    </w:p>
    <w:p w:rsidR="00091DEA" w:rsidRDefault="00B2262A" w:rsidP="00B2262A">
      <w:pPr>
        <w:spacing w:before="100" w:beforeAutospacing="1" w:after="100" w:afterAutospacing="1" w:line="240" w:lineRule="auto"/>
        <w:ind w:firstLine="480"/>
        <w:rPr>
          <w:rFonts w:ascii="Arial" w:eastAsia="Times New Roman" w:hAnsi="Arial" w:cs="Arial"/>
          <w:sz w:val="20"/>
          <w:szCs w:val="20"/>
        </w:rPr>
      </w:pPr>
      <w:r w:rsidRPr="00B2262A">
        <w:rPr>
          <w:rFonts w:ascii="Arial" w:eastAsia="Times New Roman" w:hAnsi="Arial" w:cs="Arial"/>
          <w:sz w:val="20"/>
          <w:szCs w:val="20"/>
        </w:rPr>
        <w:t xml:space="preserve">(1) You must meet each emission limit and work practice standard in Table 3 to this subpart that applies to your process heater, for each process heater at your source, except as provided under §63.7522. </w:t>
      </w:r>
    </w:p>
    <w:p w:rsidR="00B2262A" w:rsidRDefault="00B2262A" w:rsidP="00B2262A">
      <w:pPr>
        <w:ind w:firstLine="480"/>
        <w:rPr>
          <w:rFonts w:ascii="Arial" w:hAnsi="Arial" w:cs="Arial"/>
          <w:sz w:val="20"/>
          <w:szCs w:val="20"/>
        </w:rPr>
      </w:pPr>
      <w:r>
        <w:rPr>
          <w:rFonts w:ascii="Arial" w:hAnsi="Arial" w:cs="Arial"/>
          <w:sz w:val="20"/>
          <w:szCs w:val="20"/>
        </w:rPr>
        <w:t xml:space="preserve">(3) </w:t>
      </w:r>
      <w:proofErr w:type="gramStart"/>
      <w:r>
        <w:rPr>
          <w:rFonts w:ascii="Arial" w:hAnsi="Arial" w:cs="Arial"/>
          <w:sz w:val="20"/>
          <w:szCs w:val="20"/>
        </w:rPr>
        <w:t>At</w:t>
      </w:r>
      <w:proofErr w:type="gramEnd"/>
      <w:r>
        <w:rPr>
          <w:rFonts w:ascii="Arial" w:hAnsi="Arial" w:cs="Arial"/>
          <w:sz w:val="20"/>
          <w:szCs w:val="20"/>
        </w:rPr>
        <w:t xml:space="preserve"> all times, you must operate and maintain any affected source (as defined in §63.7490), including monitoring equipment, in a manner consistent with safety and good air pollution control practices for minimizing emissions.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p>
    <w:p w:rsidR="00B2262A" w:rsidRDefault="00B2262A" w:rsidP="00B2262A">
      <w:pPr>
        <w:ind w:firstLine="480"/>
        <w:rPr>
          <w:rFonts w:ascii="Arial" w:hAnsi="Arial" w:cs="Arial"/>
          <w:sz w:val="20"/>
          <w:szCs w:val="20"/>
        </w:rPr>
      </w:pPr>
      <w:r>
        <w:rPr>
          <w:rFonts w:ascii="Arial" w:hAnsi="Arial" w:cs="Arial"/>
          <w:sz w:val="20"/>
          <w:szCs w:val="20"/>
        </w:rPr>
        <w:t>(f) These standards apply at all times</w:t>
      </w:r>
      <w:r w:rsidR="00991A8C">
        <w:rPr>
          <w:rFonts w:ascii="Arial" w:hAnsi="Arial" w:cs="Arial"/>
          <w:sz w:val="20"/>
          <w:szCs w:val="20"/>
        </w:rPr>
        <w:t xml:space="preserve"> the affected unit is operating</w:t>
      </w:r>
      <w:r>
        <w:rPr>
          <w:rFonts w:ascii="Arial" w:hAnsi="Arial" w:cs="Arial"/>
          <w:sz w:val="20"/>
          <w:szCs w:val="20"/>
        </w:rPr>
        <w:t>.</w:t>
      </w:r>
    </w:p>
    <w:p w:rsidR="00B2262A" w:rsidRDefault="00B2262A" w:rsidP="00B2262A">
      <w:pPr>
        <w:pStyle w:val="Heading2"/>
        <w:jc w:val="left"/>
        <w:rPr>
          <w:rFonts w:ascii="Arial" w:hAnsi="Arial" w:cs="Arial"/>
        </w:rPr>
      </w:pPr>
      <w:r>
        <w:rPr>
          <w:rFonts w:ascii="Arial" w:hAnsi="Arial" w:cs="Arial"/>
        </w:rPr>
        <w:t>§63.7505   </w:t>
      </w:r>
      <w:proofErr w:type="gramStart"/>
      <w:r>
        <w:rPr>
          <w:rFonts w:ascii="Arial" w:hAnsi="Arial" w:cs="Arial"/>
        </w:rPr>
        <w:t>What</w:t>
      </w:r>
      <w:proofErr w:type="gramEnd"/>
      <w:r>
        <w:rPr>
          <w:rFonts w:ascii="Arial" w:hAnsi="Arial" w:cs="Arial"/>
        </w:rPr>
        <w:t xml:space="preserve"> are my general requirements for complying with this subpart?</w:t>
      </w:r>
    </w:p>
    <w:p w:rsidR="00B2262A" w:rsidRDefault="00B2262A" w:rsidP="00B2262A">
      <w:pPr>
        <w:pStyle w:val="NormalWeb"/>
        <w:numPr>
          <w:ilvl w:val="0"/>
          <w:numId w:val="1"/>
        </w:numPr>
        <w:rPr>
          <w:rFonts w:ascii="Arial" w:hAnsi="Arial" w:cs="Arial"/>
          <w:sz w:val="20"/>
          <w:szCs w:val="20"/>
        </w:rPr>
      </w:pPr>
      <w:r>
        <w:rPr>
          <w:rFonts w:ascii="Arial" w:hAnsi="Arial" w:cs="Arial"/>
          <w:sz w:val="20"/>
          <w:szCs w:val="20"/>
        </w:rPr>
        <w:t>You must be in compliance with the emission limits, work practice standards, and operating limits in this subpart. These emission and operating limits apply to you at all times the affected unit is operating except for the periods noted in §63.7500(f).</w:t>
      </w:r>
    </w:p>
    <w:p w:rsidR="00B2262A" w:rsidRDefault="00B2262A" w:rsidP="00B2262A">
      <w:pPr>
        <w:pStyle w:val="NormalWeb"/>
        <w:ind w:firstLine="0"/>
        <w:rPr>
          <w:rFonts w:ascii="Arial" w:hAnsi="Arial" w:cs="Arial"/>
          <w:b/>
          <w:sz w:val="20"/>
          <w:szCs w:val="20"/>
        </w:rPr>
      </w:pPr>
      <w:r w:rsidRPr="00B2262A">
        <w:rPr>
          <w:rFonts w:ascii="Arial" w:hAnsi="Arial" w:cs="Arial"/>
          <w:b/>
          <w:sz w:val="20"/>
          <w:szCs w:val="20"/>
        </w:rPr>
        <w:t>§63.7515   </w:t>
      </w:r>
      <w:proofErr w:type="gramStart"/>
      <w:r w:rsidRPr="00B2262A">
        <w:rPr>
          <w:rFonts w:ascii="Arial" w:hAnsi="Arial" w:cs="Arial"/>
          <w:b/>
          <w:sz w:val="20"/>
          <w:szCs w:val="20"/>
        </w:rPr>
        <w:t>When</w:t>
      </w:r>
      <w:proofErr w:type="gramEnd"/>
      <w:r w:rsidRPr="00B2262A">
        <w:rPr>
          <w:rFonts w:ascii="Arial" w:hAnsi="Arial" w:cs="Arial"/>
          <w:b/>
          <w:sz w:val="20"/>
          <w:szCs w:val="20"/>
        </w:rPr>
        <w:t xml:space="preserve"> must I conduct subsequent performance tests, fuel analyses, or tune-ups?</w:t>
      </w:r>
    </w:p>
    <w:p w:rsidR="00991A8C" w:rsidRDefault="00B2262A" w:rsidP="00B2262A">
      <w:pPr>
        <w:pStyle w:val="NormalWeb"/>
        <w:ind w:firstLine="720"/>
        <w:jc w:val="both"/>
        <w:rPr>
          <w:rFonts w:ascii="Arial" w:hAnsi="Arial" w:cs="Arial"/>
          <w:sz w:val="20"/>
          <w:szCs w:val="20"/>
        </w:rPr>
      </w:pPr>
      <w:r w:rsidRPr="00B2262A">
        <w:rPr>
          <w:rFonts w:ascii="Arial" w:hAnsi="Arial" w:cs="Arial"/>
          <w:sz w:val="20"/>
          <w:szCs w:val="20"/>
        </w:rPr>
        <w:t>(d) If you are required to meet an applicable tune-up work practice standard, you must conduct an annual</w:t>
      </w:r>
      <w:r w:rsidR="00991A8C">
        <w:rPr>
          <w:rFonts w:ascii="Arial" w:hAnsi="Arial" w:cs="Arial"/>
          <w:sz w:val="20"/>
          <w:szCs w:val="20"/>
        </w:rPr>
        <w:t xml:space="preserve"> </w:t>
      </w:r>
      <w:r>
        <w:rPr>
          <w:rFonts w:ascii="Arial" w:hAnsi="Arial" w:cs="Arial"/>
          <w:sz w:val="20"/>
          <w:szCs w:val="20"/>
        </w:rPr>
        <w:t>performance tune-up according to §63.7540(a</w:t>
      </w:r>
      <w:proofErr w:type="gramStart"/>
      <w:r>
        <w:rPr>
          <w:rFonts w:ascii="Arial" w:hAnsi="Arial" w:cs="Arial"/>
          <w:sz w:val="20"/>
          <w:szCs w:val="20"/>
        </w:rPr>
        <w:t>)(</w:t>
      </w:r>
      <w:proofErr w:type="gramEnd"/>
      <w:r>
        <w:rPr>
          <w:rFonts w:ascii="Arial" w:hAnsi="Arial" w:cs="Arial"/>
          <w:sz w:val="20"/>
          <w:szCs w:val="20"/>
        </w:rPr>
        <w:t>10). Each annual tune-up specified in §63.7540(a</w:t>
      </w:r>
      <w:proofErr w:type="gramStart"/>
      <w:r>
        <w:rPr>
          <w:rFonts w:ascii="Arial" w:hAnsi="Arial" w:cs="Arial"/>
          <w:sz w:val="20"/>
          <w:szCs w:val="20"/>
        </w:rPr>
        <w:t>)(</w:t>
      </w:r>
      <w:proofErr w:type="gramEnd"/>
      <w:r>
        <w:rPr>
          <w:rFonts w:ascii="Arial" w:hAnsi="Arial" w:cs="Arial"/>
          <w:sz w:val="20"/>
          <w:szCs w:val="20"/>
        </w:rPr>
        <w:t>10) must be no more than 13 months after the previous tune</w:t>
      </w:r>
      <w:r w:rsidR="00991A8C">
        <w:rPr>
          <w:rFonts w:ascii="Arial" w:hAnsi="Arial" w:cs="Arial"/>
          <w:sz w:val="20"/>
          <w:szCs w:val="20"/>
        </w:rPr>
        <w:t>-up.</w:t>
      </w:r>
    </w:p>
    <w:p w:rsidR="00DD0501" w:rsidRDefault="00DD0501" w:rsidP="00DD0501">
      <w:pPr>
        <w:pStyle w:val="NormalWeb"/>
        <w:ind w:firstLine="0"/>
        <w:jc w:val="both"/>
        <w:rPr>
          <w:rFonts w:ascii="Arial" w:hAnsi="Arial" w:cs="Arial"/>
          <w:b/>
          <w:sz w:val="20"/>
          <w:szCs w:val="20"/>
        </w:rPr>
      </w:pPr>
      <w:r w:rsidRPr="00DD0501">
        <w:rPr>
          <w:rFonts w:ascii="Arial" w:hAnsi="Arial" w:cs="Arial"/>
          <w:b/>
          <w:sz w:val="20"/>
          <w:szCs w:val="20"/>
        </w:rPr>
        <w:t>§63.7521   </w:t>
      </w:r>
      <w:proofErr w:type="gramStart"/>
      <w:r w:rsidRPr="00DD0501">
        <w:rPr>
          <w:rFonts w:ascii="Arial" w:hAnsi="Arial" w:cs="Arial"/>
          <w:b/>
          <w:sz w:val="20"/>
          <w:szCs w:val="20"/>
        </w:rPr>
        <w:t>What</w:t>
      </w:r>
      <w:proofErr w:type="gramEnd"/>
      <w:r w:rsidRPr="00DD0501">
        <w:rPr>
          <w:rFonts w:ascii="Arial" w:hAnsi="Arial" w:cs="Arial"/>
          <w:b/>
          <w:sz w:val="20"/>
          <w:szCs w:val="20"/>
        </w:rPr>
        <w:t xml:space="preserve"> fuel analyses, fuel specification, and procedures must I use?</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 xml:space="preserve">(f) To demonstrate that a gaseous fuel other than natural gas or refinery gas qualifies as </w:t>
      </w:r>
      <w:proofErr w:type="spellStart"/>
      <w:r w:rsidRPr="00DD0501">
        <w:rPr>
          <w:rFonts w:ascii="Arial" w:eastAsia="Times New Roman" w:hAnsi="Arial" w:cs="Arial"/>
          <w:sz w:val="20"/>
          <w:szCs w:val="20"/>
        </w:rPr>
        <w:t>an other</w:t>
      </w:r>
      <w:proofErr w:type="spellEnd"/>
      <w:r w:rsidRPr="00DD0501">
        <w:rPr>
          <w:rFonts w:ascii="Arial" w:eastAsia="Times New Roman" w:hAnsi="Arial" w:cs="Arial"/>
          <w:sz w:val="20"/>
          <w:szCs w:val="20"/>
        </w:rPr>
        <w:t xml:space="preserve"> gas 1 fuel, as defined in §63.7575, you must conduct a fuel specification analyses for mercury according </w:t>
      </w:r>
      <w:r w:rsidRPr="00DD0501">
        <w:rPr>
          <w:rFonts w:ascii="Arial" w:eastAsia="Times New Roman" w:hAnsi="Arial" w:cs="Arial"/>
          <w:sz w:val="20"/>
          <w:szCs w:val="20"/>
        </w:rPr>
        <w:lastRenderedPageBreak/>
        <w:t>to the procedures in paragraphs (g) through (</w:t>
      </w:r>
      <w:proofErr w:type="spellStart"/>
      <w:r w:rsidRPr="00DD0501">
        <w:rPr>
          <w:rFonts w:ascii="Arial" w:eastAsia="Times New Roman" w:hAnsi="Arial" w:cs="Arial"/>
          <w:sz w:val="20"/>
          <w:szCs w:val="20"/>
        </w:rPr>
        <w:t>i</w:t>
      </w:r>
      <w:proofErr w:type="spellEnd"/>
      <w:r w:rsidRPr="00DD0501">
        <w:rPr>
          <w:rFonts w:ascii="Arial" w:eastAsia="Times New Roman" w:hAnsi="Arial" w:cs="Arial"/>
          <w:sz w:val="20"/>
          <w:szCs w:val="20"/>
        </w:rPr>
        <w:t xml:space="preserve">) of this section and Table 6 to this subpart, as applicable, except as specified in paragraph (f)(1) through (4) of this section, or as an alternative where fuel specification analysis is not practical, you must measure mercury concentration in the exhaust gas when firing only the gaseous fuel to be demonstrated as </w:t>
      </w:r>
      <w:proofErr w:type="spellStart"/>
      <w:r w:rsidRPr="00DD0501">
        <w:rPr>
          <w:rFonts w:ascii="Arial" w:eastAsia="Times New Roman" w:hAnsi="Arial" w:cs="Arial"/>
          <w:sz w:val="20"/>
          <w:szCs w:val="20"/>
        </w:rPr>
        <w:t>an other</w:t>
      </w:r>
      <w:proofErr w:type="spellEnd"/>
      <w:r w:rsidRPr="00DD0501">
        <w:rPr>
          <w:rFonts w:ascii="Arial" w:eastAsia="Times New Roman" w:hAnsi="Arial" w:cs="Arial"/>
          <w:sz w:val="20"/>
          <w:szCs w:val="20"/>
        </w:rPr>
        <w:t xml:space="preserve"> gas 1 fuel in the process heater according to the procedures in Table 6 to this subpart.</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(1) You are not required to conduct the fuel specification analyses in paragraphs (g) through (</w:t>
      </w:r>
      <w:proofErr w:type="spellStart"/>
      <w:r w:rsidRPr="00DD0501">
        <w:rPr>
          <w:rFonts w:ascii="Arial" w:eastAsia="Times New Roman" w:hAnsi="Arial" w:cs="Arial"/>
          <w:sz w:val="20"/>
          <w:szCs w:val="20"/>
        </w:rPr>
        <w:t>i</w:t>
      </w:r>
      <w:proofErr w:type="spellEnd"/>
      <w:r w:rsidRPr="00DD0501">
        <w:rPr>
          <w:rFonts w:ascii="Arial" w:eastAsia="Times New Roman" w:hAnsi="Arial" w:cs="Arial"/>
          <w:sz w:val="20"/>
          <w:szCs w:val="20"/>
        </w:rPr>
        <w:t>) of this section for natural gas or refinery gas.</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(2) You are not required to conduct the fuel specification analyses in paragraphs (g) through (</w:t>
      </w:r>
      <w:proofErr w:type="spellStart"/>
      <w:r w:rsidRPr="00DD0501">
        <w:rPr>
          <w:rFonts w:ascii="Arial" w:eastAsia="Times New Roman" w:hAnsi="Arial" w:cs="Arial"/>
          <w:sz w:val="20"/>
          <w:szCs w:val="20"/>
        </w:rPr>
        <w:t>i</w:t>
      </w:r>
      <w:proofErr w:type="spellEnd"/>
      <w:r w:rsidRPr="00DD0501">
        <w:rPr>
          <w:rFonts w:ascii="Arial" w:eastAsia="Times New Roman" w:hAnsi="Arial" w:cs="Arial"/>
          <w:sz w:val="20"/>
          <w:szCs w:val="20"/>
        </w:rPr>
        <w:t>) of this section for gaseous fuels that are subject to another subpart of this part, part 60, part 61, or part 65.</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(3) You are not required to conduct the fuel specification analyses in paragraphs (g) through (</w:t>
      </w:r>
      <w:proofErr w:type="spellStart"/>
      <w:r w:rsidRPr="00DD0501">
        <w:rPr>
          <w:rFonts w:ascii="Arial" w:eastAsia="Times New Roman" w:hAnsi="Arial" w:cs="Arial"/>
          <w:sz w:val="20"/>
          <w:szCs w:val="20"/>
        </w:rPr>
        <w:t>i</w:t>
      </w:r>
      <w:proofErr w:type="spellEnd"/>
      <w:r w:rsidRPr="00DD0501">
        <w:rPr>
          <w:rFonts w:ascii="Arial" w:eastAsia="Times New Roman" w:hAnsi="Arial" w:cs="Arial"/>
          <w:sz w:val="20"/>
          <w:szCs w:val="20"/>
        </w:rPr>
        <w:t>) of this section on gaseous fuels for units that are complying with the limits for units designed to burn gas 2 (other) fuels.</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(4) You are not required to conduct the fuel specification analyses in paragraphs (g) through (</w:t>
      </w:r>
      <w:proofErr w:type="spellStart"/>
      <w:r w:rsidRPr="00DD0501">
        <w:rPr>
          <w:rFonts w:ascii="Arial" w:eastAsia="Times New Roman" w:hAnsi="Arial" w:cs="Arial"/>
          <w:sz w:val="20"/>
          <w:szCs w:val="20"/>
        </w:rPr>
        <w:t>i</w:t>
      </w:r>
      <w:proofErr w:type="spellEnd"/>
      <w:r w:rsidRPr="00DD0501">
        <w:rPr>
          <w:rFonts w:ascii="Arial" w:eastAsia="Times New Roman" w:hAnsi="Arial" w:cs="Arial"/>
          <w:sz w:val="20"/>
          <w:szCs w:val="20"/>
        </w:rPr>
        <w:t>) of this section for gas streams directly derived from natural gas at natural gas production sites or natural gas plants.</w:t>
      </w:r>
    </w:p>
    <w:p w:rsidR="00DD0501" w:rsidRPr="004A75A5" w:rsidRDefault="00DD0501" w:rsidP="00DD0501">
      <w:pPr>
        <w:spacing w:before="100" w:beforeAutospacing="1" w:after="100" w:afterAutospacing="1" w:line="240" w:lineRule="auto"/>
        <w:ind w:firstLine="480"/>
        <w:rPr>
          <w:rFonts w:ascii="Arial" w:eastAsia="Times New Roman" w:hAnsi="Arial" w:cs="Arial"/>
          <w:i/>
          <w:sz w:val="20"/>
          <w:szCs w:val="20"/>
        </w:rPr>
      </w:pPr>
      <w:r w:rsidRPr="00DD0501">
        <w:rPr>
          <w:rFonts w:ascii="Arial" w:eastAsia="Times New Roman" w:hAnsi="Arial" w:cs="Arial"/>
          <w:sz w:val="20"/>
          <w:szCs w:val="20"/>
        </w:rPr>
        <w:t>(g) You must develop a site-specific fuel analysis plan for other gas 1 fuels according to the following procedures and requirements in paragraphs (g</w:t>
      </w:r>
      <w:proofErr w:type="gramStart"/>
      <w:r w:rsidRPr="00DD0501">
        <w:rPr>
          <w:rFonts w:ascii="Arial" w:eastAsia="Times New Roman" w:hAnsi="Arial" w:cs="Arial"/>
          <w:sz w:val="20"/>
          <w:szCs w:val="20"/>
        </w:rPr>
        <w:t>)(</w:t>
      </w:r>
      <w:proofErr w:type="gramEnd"/>
      <w:r w:rsidRPr="00DD0501">
        <w:rPr>
          <w:rFonts w:ascii="Arial" w:eastAsia="Times New Roman" w:hAnsi="Arial" w:cs="Arial"/>
          <w:sz w:val="20"/>
          <w:szCs w:val="20"/>
        </w:rPr>
        <w:t>1) and (2) of this section.</w:t>
      </w:r>
      <w:r w:rsidR="004A75A5">
        <w:rPr>
          <w:rFonts w:ascii="Arial" w:eastAsia="Times New Roman" w:hAnsi="Arial" w:cs="Arial"/>
          <w:sz w:val="20"/>
          <w:szCs w:val="20"/>
        </w:rPr>
        <w:t xml:space="preserve">  </w:t>
      </w:r>
      <w:r w:rsidR="004A75A5">
        <w:rPr>
          <w:rFonts w:ascii="Arial" w:eastAsia="Times New Roman" w:hAnsi="Arial" w:cs="Arial"/>
          <w:i/>
          <w:sz w:val="20"/>
          <w:szCs w:val="20"/>
        </w:rPr>
        <w:t>(UCC considers this and paragraphs (1) and (2)(</w:t>
      </w:r>
      <w:proofErr w:type="spellStart"/>
      <w:r w:rsidR="004A75A5">
        <w:rPr>
          <w:rFonts w:ascii="Arial" w:eastAsia="Times New Roman" w:hAnsi="Arial" w:cs="Arial"/>
          <w:i/>
          <w:sz w:val="20"/>
          <w:szCs w:val="20"/>
        </w:rPr>
        <w:t>i</w:t>
      </w:r>
      <w:proofErr w:type="spellEnd"/>
      <w:r w:rsidR="004A75A5">
        <w:rPr>
          <w:rFonts w:ascii="Arial" w:eastAsia="Times New Roman" w:hAnsi="Arial" w:cs="Arial"/>
          <w:i/>
          <w:sz w:val="20"/>
          <w:szCs w:val="20"/>
        </w:rPr>
        <w:t xml:space="preserve"> – vi) </w:t>
      </w:r>
      <w:r w:rsidR="005A6342">
        <w:rPr>
          <w:rFonts w:ascii="Arial" w:eastAsia="Times New Roman" w:hAnsi="Arial" w:cs="Arial"/>
          <w:i/>
          <w:sz w:val="20"/>
          <w:szCs w:val="20"/>
        </w:rPr>
        <w:t xml:space="preserve">(below) </w:t>
      </w:r>
      <w:r w:rsidR="004A75A5">
        <w:rPr>
          <w:rFonts w:ascii="Arial" w:eastAsia="Times New Roman" w:hAnsi="Arial" w:cs="Arial"/>
          <w:i/>
          <w:sz w:val="20"/>
          <w:szCs w:val="20"/>
        </w:rPr>
        <w:t xml:space="preserve">obsolete as this fuel analysis plan was submitted to EPA and approved in a letter dated March 2, 2014 from Diana </w:t>
      </w:r>
      <w:proofErr w:type="spellStart"/>
      <w:r w:rsidR="004A75A5">
        <w:rPr>
          <w:rFonts w:ascii="Arial" w:eastAsia="Times New Roman" w:hAnsi="Arial" w:cs="Arial"/>
          <w:i/>
          <w:sz w:val="20"/>
          <w:szCs w:val="20"/>
        </w:rPr>
        <w:t>Esher</w:t>
      </w:r>
      <w:proofErr w:type="spellEnd"/>
      <w:r w:rsidR="004A75A5">
        <w:rPr>
          <w:rFonts w:ascii="Arial" w:eastAsia="Times New Roman" w:hAnsi="Arial" w:cs="Arial"/>
          <w:i/>
          <w:sz w:val="20"/>
          <w:szCs w:val="20"/>
        </w:rPr>
        <w:t xml:space="preserve"> of USEPA Region III.)</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(1) If you intend to use an alternative analytical method other than those required by Table 6 to this subpart, you must submit the fuel analysis plan to the Administrator for review and approval no later than 60 days before the date that you intend to conduct the initial compliance demonstration described in §63.7510.</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(2) You must include the information contained in paragraphs (g</w:t>
      </w:r>
      <w:proofErr w:type="gramStart"/>
      <w:r w:rsidRPr="00DD0501">
        <w:rPr>
          <w:rFonts w:ascii="Arial" w:eastAsia="Times New Roman" w:hAnsi="Arial" w:cs="Arial"/>
          <w:sz w:val="20"/>
          <w:szCs w:val="20"/>
        </w:rPr>
        <w:t>)(</w:t>
      </w:r>
      <w:proofErr w:type="gramEnd"/>
      <w:r w:rsidRPr="00DD0501">
        <w:rPr>
          <w:rFonts w:ascii="Arial" w:eastAsia="Times New Roman" w:hAnsi="Arial" w:cs="Arial"/>
          <w:sz w:val="20"/>
          <w:szCs w:val="20"/>
        </w:rPr>
        <w:t>2)(</w:t>
      </w:r>
      <w:proofErr w:type="spellStart"/>
      <w:r w:rsidRPr="00DD0501">
        <w:rPr>
          <w:rFonts w:ascii="Arial" w:eastAsia="Times New Roman" w:hAnsi="Arial" w:cs="Arial"/>
          <w:sz w:val="20"/>
          <w:szCs w:val="20"/>
        </w:rPr>
        <w:t>i</w:t>
      </w:r>
      <w:proofErr w:type="spellEnd"/>
      <w:r w:rsidRPr="00DD0501">
        <w:rPr>
          <w:rFonts w:ascii="Arial" w:eastAsia="Times New Roman" w:hAnsi="Arial" w:cs="Arial"/>
          <w:sz w:val="20"/>
          <w:szCs w:val="20"/>
        </w:rPr>
        <w:t>) through (vi) of this section in your fuel analysis plan.</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w:t>
      </w:r>
      <w:proofErr w:type="spellStart"/>
      <w:r w:rsidRPr="00DD0501">
        <w:rPr>
          <w:rFonts w:ascii="Arial" w:eastAsia="Times New Roman" w:hAnsi="Arial" w:cs="Arial"/>
          <w:sz w:val="20"/>
          <w:szCs w:val="20"/>
        </w:rPr>
        <w:t>i</w:t>
      </w:r>
      <w:proofErr w:type="spellEnd"/>
      <w:r w:rsidRPr="00DD0501">
        <w:rPr>
          <w:rFonts w:ascii="Arial" w:eastAsia="Times New Roman" w:hAnsi="Arial" w:cs="Arial"/>
          <w:sz w:val="20"/>
          <w:szCs w:val="20"/>
        </w:rPr>
        <w:t>) The identification of all gaseous fuel types other than those exempted from fuel specification analysis under (f</w:t>
      </w:r>
      <w:proofErr w:type="gramStart"/>
      <w:r w:rsidRPr="00DD0501">
        <w:rPr>
          <w:rFonts w:ascii="Arial" w:eastAsia="Times New Roman" w:hAnsi="Arial" w:cs="Arial"/>
          <w:sz w:val="20"/>
          <w:szCs w:val="20"/>
        </w:rPr>
        <w:t>)(</w:t>
      </w:r>
      <w:proofErr w:type="gramEnd"/>
      <w:r w:rsidRPr="00DD0501">
        <w:rPr>
          <w:rFonts w:ascii="Arial" w:eastAsia="Times New Roman" w:hAnsi="Arial" w:cs="Arial"/>
          <w:sz w:val="20"/>
          <w:szCs w:val="20"/>
        </w:rPr>
        <w:t>1) through (3) of this section anticipated to be burned in each process heater.</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(ii) For each anticipated fuel type, the identification of whether you or a fuel supplier will be conducting the fuel specification analysis.</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(iii) For each anticipated fuel type, a detailed description of the sample location and specific procedures to be used for collecting and preparing the samples if your procedures are different from the sampling methods contained in Table 6 to this subpart. Samples should be collected at a location that most accurately represents the fuel type, where possible, at a point prior to mixing with other dissimilar fuel types. If multiple process heaters are fueled by a common fuel stream it is permissible to conduct a single gas specification at the common point of gas distribution.</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proofErr w:type="gramStart"/>
      <w:r w:rsidRPr="00DD0501">
        <w:rPr>
          <w:rFonts w:ascii="Arial" w:eastAsia="Times New Roman" w:hAnsi="Arial" w:cs="Arial"/>
          <w:sz w:val="20"/>
          <w:szCs w:val="20"/>
        </w:rPr>
        <w:t>(iv) For</w:t>
      </w:r>
      <w:proofErr w:type="gramEnd"/>
      <w:r w:rsidRPr="00DD0501">
        <w:rPr>
          <w:rFonts w:ascii="Arial" w:eastAsia="Times New Roman" w:hAnsi="Arial" w:cs="Arial"/>
          <w:sz w:val="20"/>
          <w:szCs w:val="20"/>
        </w:rPr>
        <w:t xml:space="preserve"> each anticipated fuel type, the analytical methods from Table 6 to this subpart, with the expected minimum detection levels, to be used for the measurement of mercury.</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(v) If you request to use an alternative analytical method other than those required by Table 6 to this subpart, you must also include a detailed description of the methods and procedures that you are proposing to use. Methods in Table 6 to this subpart shall be used until the requested alternative is approved.</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proofErr w:type="gramStart"/>
      <w:r w:rsidRPr="00DD0501">
        <w:rPr>
          <w:rFonts w:ascii="Arial" w:eastAsia="Times New Roman" w:hAnsi="Arial" w:cs="Arial"/>
          <w:sz w:val="20"/>
          <w:szCs w:val="20"/>
        </w:rPr>
        <w:lastRenderedPageBreak/>
        <w:t>(vi) If</w:t>
      </w:r>
      <w:proofErr w:type="gramEnd"/>
      <w:r w:rsidRPr="00DD0501">
        <w:rPr>
          <w:rFonts w:ascii="Arial" w:eastAsia="Times New Roman" w:hAnsi="Arial" w:cs="Arial"/>
          <w:sz w:val="20"/>
          <w:szCs w:val="20"/>
        </w:rPr>
        <w:t xml:space="preserve"> you will be using fuel analysis from a fuel supplier in lieu of site-specific sampling and analysis, the fuel supplier must use the analytical methods required by Table 6 to this subpart. When using a fuel supplier's fuel analysis, the owner or operator is not required to submit the information in §63.7521(g</w:t>
      </w:r>
      <w:proofErr w:type="gramStart"/>
      <w:r w:rsidRPr="00DD0501">
        <w:rPr>
          <w:rFonts w:ascii="Arial" w:eastAsia="Times New Roman" w:hAnsi="Arial" w:cs="Arial"/>
          <w:sz w:val="20"/>
          <w:szCs w:val="20"/>
        </w:rPr>
        <w:t>)(</w:t>
      </w:r>
      <w:proofErr w:type="gramEnd"/>
      <w:r w:rsidRPr="00DD0501">
        <w:rPr>
          <w:rFonts w:ascii="Arial" w:eastAsia="Times New Roman" w:hAnsi="Arial" w:cs="Arial"/>
          <w:sz w:val="20"/>
          <w:szCs w:val="20"/>
        </w:rPr>
        <w:t>2)(iii).</w:t>
      </w:r>
    </w:p>
    <w:p w:rsidR="00DD0501" w:rsidRP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(h) You must obtain a single fuel sample for each fuel type for fuel specification of gaseous fuels.</w:t>
      </w:r>
    </w:p>
    <w:p w:rsidR="00DD0501" w:rsidRDefault="00DD0501" w:rsidP="00DD0501">
      <w:pPr>
        <w:spacing w:before="100" w:beforeAutospacing="1" w:after="100" w:afterAutospacing="1" w:line="240" w:lineRule="auto"/>
        <w:ind w:firstLine="480"/>
        <w:rPr>
          <w:rFonts w:ascii="Arial" w:eastAsia="Times New Roman" w:hAnsi="Arial" w:cs="Arial"/>
          <w:sz w:val="20"/>
          <w:szCs w:val="20"/>
        </w:rPr>
      </w:pPr>
      <w:r w:rsidRPr="00DD0501">
        <w:rPr>
          <w:rFonts w:ascii="Arial" w:eastAsia="Times New Roman" w:hAnsi="Arial" w:cs="Arial"/>
          <w:sz w:val="20"/>
          <w:szCs w:val="20"/>
        </w:rPr>
        <w:t>(</w:t>
      </w:r>
      <w:proofErr w:type="spellStart"/>
      <w:r w:rsidRPr="00DD0501">
        <w:rPr>
          <w:rFonts w:ascii="Arial" w:eastAsia="Times New Roman" w:hAnsi="Arial" w:cs="Arial"/>
          <w:sz w:val="20"/>
          <w:szCs w:val="20"/>
        </w:rPr>
        <w:t>i</w:t>
      </w:r>
      <w:proofErr w:type="spellEnd"/>
      <w:r w:rsidRPr="00DD0501">
        <w:rPr>
          <w:rFonts w:ascii="Arial" w:eastAsia="Times New Roman" w:hAnsi="Arial" w:cs="Arial"/>
          <w:sz w:val="20"/>
          <w:szCs w:val="20"/>
        </w:rPr>
        <w:t>) You must determine the concentration in the fuel of mercury, in units of microgram per cubic meter, dry basis, of each sample for each other gas 1 fuel type according to the procedures in Table 6 to this subpart.</w:t>
      </w:r>
    </w:p>
    <w:p w:rsidR="004873E4" w:rsidRDefault="004873E4" w:rsidP="004873E4">
      <w:pPr>
        <w:spacing w:before="100" w:beforeAutospacing="1" w:after="100" w:afterAutospacing="1" w:line="240" w:lineRule="auto"/>
        <w:rPr>
          <w:rFonts w:ascii="Arial" w:hAnsi="Arial" w:cs="Arial"/>
          <w:b/>
          <w:sz w:val="20"/>
          <w:szCs w:val="20"/>
        </w:rPr>
      </w:pPr>
      <w:r w:rsidRPr="004873E4">
        <w:rPr>
          <w:rFonts w:ascii="Arial" w:hAnsi="Arial" w:cs="Arial"/>
          <w:b/>
          <w:sz w:val="20"/>
          <w:szCs w:val="20"/>
        </w:rPr>
        <w:t>§63.7530   </w:t>
      </w:r>
      <w:proofErr w:type="gramStart"/>
      <w:r w:rsidRPr="004873E4">
        <w:rPr>
          <w:rFonts w:ascii="Arial" w:hAnsi="Arial" w:cs="Arial"/>
          <w:b/>
          <w:sz w:val="20"/>
          <w:szCs w:val="20"/>
        </w:rPr>
        <w:t>How</w:t>
      </w:r>
      <w:proofErr w:type="gramEnd"/>
      <w:r w:rsidRPr="004873E4">
        <w:rPr>
          <w:rFonts w:ascii="Arial" w:hAnsi="Arial" w:cs="Arial"/>
          <w:b/>
          <w:sz w:val="20"/>
          <w:szCs w:val="20"/>
        </w:rPr>
        <w:t xml:space="preserve"> do I demonstrate initial compliance with the emission limitations, fuel specifications and work practice standards?</w:t>
      </w:r>
    </w:p>
    <w:p w:rsidR="004873E4" w:rsidRPr="005A6342" w:rsidRDefault="004873E4" w:rsidP="004873E4">
      <w:pPr>
        <w:spacing w:before="100" w:beforeAutospacing="1" w:after="100" w:afterAutospacing="1" w:line="240" w:lineRule="auto"/>
        <w:ind w:firstLine="720"/>
        <w:jc w:val="both"/>
        <w:rPr>
          <w:rFonts w:ascii="Arial" w:hAnsi="Arial" w:cs="Arial"/>
          <w:i/>
          <w:sz w:val="20"/>
          <w:szCs w:val="20"/>
        </w:rPr>
      </w:pPr>
      <w:r>
        <w:rPr>
          <w:rFonts w:ascii="Arial" w:hAnsi="Arial" w:cs="Arial"/>
          <w:sz w:val="20"/>
          <w:szCs w:val="20"/>
        </w:rPr>
        <w:t>(g) If you elect to demonstrate that a gaseous fuel meets the specifications of another gas 1 fuel as defined in §63.7575, you must conduct an initial fuel specification analyses according to §63.7521(f) through (</w:t>
      </w:r>
      <w:proofErr w:type="spellStart"/>
      <w:r>
        <w:rPr>
          <w:rFonts w:ascii="Arial" w:hAnsi="Arial" w:cs="Arial"/>
          <w:sz w:val="20"/>
          <w:szCs w:val="20"/>
        </w:rPr>
        <w:t>i</w:t>
      </w:r>
      <w:proofErr w:type="spellEnd"/>
      <w:r>
        <w:rPr>
          <w:rFonts w:ascii="Arial" w:hAnsi="Arial" w:cs="Arial"/>
          <w:sz w:val="20"/>
          <w:szCs w:val="20"/>
        </w:rPr>
        <w:t>) and according to the frequency listed in §63.7540(c) and maintain records of the results of the testing as outlined in §63.7555(g). For samples where the initial mercury specification has not been exceeded, you will include a signed certification with the Notification of Compliance Status that the initial fuel specification test meets the gas specification outlined in the definition of other gas 1 fuels.</w:t>
      </w:r>
      <w:r w:rsidR="005A6342">
        <w:rPr>
          <w:rFonts w:ascii="Arial" w:hAnsi="Arial" w:cs="Arial"/>
          <w:sz w:val="20"/>
          <w:szCs w:val="20"/>
        </w:rPr>
        <w:t xml:space="preserve">  </w:t>
      </w:r>
      <w:r w:rsidR="005A6342">
        <w:rPr>
          <w:rFonts w:ascii="Arial" w:hAnsi="Arial" w:cs="Arial"/>
          <w:i/>
          <w:sz w:val="20"/>
          <w:szCs w:val="20"/>
        </w:rPr>
        <w:t>(This was completed per sampling on November 12, 2014 and results showed that no further sampling an analysis is necessary unless there is a change in fuels.)</w:t>
      </w:r>
    </w:p>
    <w:p w:rsidR="004873E4" w:rsidRDefault="009A3EE3" w:rsidP="004873E4">
      <w:pPr>
        <w:spacing w:before="100" w:beforeAutospacing="1" w:after="100" w:afterAutospacing="1" w:line="240" w:lineRule="auto"/>
        <w:jc w:val="both"/>
        <w:rPr>
          <w:rFonts w:ascii="Arial" w:hAnsi="Arial" w:cs="Arial"/>
          <w:b/>
          <w:sz w:val="20"/>
          <w:szCs w:val="20"/>
        </w:rPr>
      </w:pPr>
      <w:r w:rsidRPr="009A3EE3">
        <w:rPr>
          <w:rFonts w:ascii="Arial" w:hAnsi="Arial" w:cs="Arial"/>
          <w:b/>
          <w:sz w:val="20"/>
          <w:szCs w:val="20"/>
        </w:rPr>
        <w:t>§63.7540   </w:t>
      </w:r>
      <w:proofErr w:type="gramStart"/>
      <w:r w:rsidRPr="009A3EE3">
        <w:rPr>
          <w:rFonts w:ascii="Arial" w:hAnsi="Arial" w:cs="Arial"/>
          <w:b/>
          <w:sz w:val="20"/>
          <w:szCs w:val="20"/>
        </w:rPr>
        <w:t>How</w:t>
      </w:r>
      <w:proofErr w:type="gramEnd"/>
      <w:r w:rsidRPr="009A3EE3">
        <w:rPr>
          <w:rFonts w:ascii="Arial" w:hAnsi="Arial" w:cs="Arial"/>
          <w:b/>
          <w:sz w:val="20"/>
          <w:szCs w:val="20"/>
        </w:rPr>
        <w:t xml:space="preserve"> do I demonstrate continuous compliance with the emission limitations, fuel specifications and work practice standards?</w:t>
      </w:r>
    </w:p>
    <w:p w:rsidR="009A3EE3" w:rsidRDefault="009A3EE3" w:rsidP="009A3EE3">
      <w:pPr>
        <w:spacing w:before="100" w:beforeAutospacing="1" w:after="100" w:afterAutospacing="1" w:line="240" w:lineRule="auto"/>
        <w:ind w:firstLine="720"/>
        <w:rPr>
          <w:rFonts w:ascii="Arial" w:hAnsi="Arial" w:cs="Arial"/>
          <w:sz w:val="20"/>
          <w:szCs w:val="20"/>
        </w:rPr>
      </w:pPr>
      <w:r>
        <w:rPr>
          <w:rFonts w:ascii="Arial" w:hAnsi="Arial" w:cs="Arial"/>
          <w:sz w:val="20"/>
          <w:szCs w:val="20"/>
        </w:rPr>
        <w:t>(a) You must demonstrate continuous compliance with the work practice standards in Table 3 to this subpart, and paragraphs (a</w:t>
      </w:r>
      <w:proofErr w:type="gramStart"/>
      <w:r>
        <w:rPr>
          <w:rFonts w:ascii="Arial" w:hAnsi="Arial" w:cs="Arial"/>
          <w:sz w:val="20"/>
          <w:szCs w:val="20"/>
        </w:rPr>
        <w:t>)(</w:t>
      </w:r>
      <w:proofErr w:type="gramEnd"/>
      <w:r>
        <w:rPr>
          <w:rFonts w:ascii="Arial" w:hAnsi="Arial" w:cs="Arial"/>
          <w:sz w:val="20"/>
          <w:szCs w:val="20"/>
        </w:rPr>
        <w:t>1</w:t>
      </w:r>
      <w:r w:rsidR="00950086">
        <w:rPr>
          <w:rFonts w:ascii="Arial" w:hAnsi="Arial" w:cs="Arial"/>
          <w:sz w:val="20"/>
          <w:szCs w:val="20"/>
        </w:rPr>
        <w:t>0</w:t>
      </w:r>
      <w:r>
        <w:rPr>
          <w:rFonts w:ascii="Arial" w:hAnsi="Arial" w:cs="Arial"/>
          <w:sz w:val="20"/>
          <w:szCs w:val="20"/>
        </w:rPr>
        <w:t xml:space="preserve">) </w:t>
      </w:r>
      <w:r w:rsidR="00950086">
        <w:rPr>
          <w:rFonts w:ascii="Arial" w:hAnsi="Arial" w:cs="Arial"/>
          <w:sz w:val="20"/>
          <w:szCs w:val="20"/>
        </w:rPr>
        <w:t>and (13</w:t>
      </w:r>
      <w:r>
        <w:rPr>
          <w:rFonts w:ascii="Arial" w:hAnsi="Arial" w:cs="Arial"/>
          <w:sz w:val="20"/>
          <w:szCs w:val="20"/>
        </w:rPr>
        <w:t>) of this section.</w:t>
      </w:r>
    </w:p>
    <w:p w:rsidR="009A3EE3" w:rsidRPr="009A3EE3" w:rsidRDefault="009A3EE3" w:rsidP="009A3EE3">
      <w:pPr>
        <w:spacing w:before="100" w:beforeAutospacing="1" w:after="100" w:afterAutospacing="1" w:line="240" w:lineRule="auto"/>
        <w:ind w:firstLine="480"/>
        <w:rPr>
          <w:rFonts w:ascii="Arial" w:eastAsia="Times New Roman" w:hAnsi="Arial" w:cs="Arial"/>
          <w:sz w:val="20"/>
          <w:szCs w:val="20"/>
        </w:rPr>
      </w:pPr>
      <w:r w:rsidRPr="009A3EE3">
        <w:rPr>
          <w:rFonts w:ascii="Arial" w:eastAsia="Times New Roman" w:hAnsi="Arial" w:cs="Arial"/>
          <w:sz w:val="20"/>
          <w:szCs w:val="20"/>
        </w:rPr>
        <w:t>(10) If your process heater has a heat input capacity of 10 million Btu per hour or greater, you must conduct an annual tune-up of the process heater to demonstrate continuous compliance as specified in paragraphs (a)(10)(</w:t>
      </w:r>
      <w:proofErr w:type="spellStart"/>
      <w:r w:rsidRPr="009A3EE3">
        <w:rPr>
          <w:rFonts w:ascii="Arial" w:eastAsia="Times New Roman" w:hAnsi="Arial" w:cs="Arial"/>
          <w:sz w:val="20"/>
          <w:szCs w:val="20"/>
        </w:rPr>
        <w:t>i</w:t>
      </w:r>
      <w:proofErr w:type="spellEnd"/>
      <w:r w:rsidRPr="009A3EE3">
        <w:rPr>
          <w:rFonts w:ascii="Arial" w:eastAsia="Times New Roman" w:hAnsi="Arial" w:cs="Arial"/>
          <w:sz w:val="20"/>
          <w:szCs w:val="20"/>
        </w:rPr>
        <w:t>) through (vi) of this section. You must conduct the tune-up while burning the type of fuel (or fuels in case of units that routinely burn a mixture) that provided the majority of the heat input to the process heater over the 12 months prior to the tune-up. This frequency does not apply to limited-use process heaters, as defined in §</w:t>
      </w:r>
      <w:proofErr w:type="gramStart"/>
      <w:r w:rsidRPr="009A3EE3">
        <w:rPr>
          <w:rFonts w:ascii="Arial" w:eastAsia="Times New Roman" w:hAnsi="Arial" w:cs="Arial"/>
          <w:sz w:val="20"/>
          <w:szCs w:val="20"/>
        </w:rPr>
        <w:t>63.7575,</w:t>
      </w:r>
      <w:proofErr w:type="gramEnd"/>
      <w:r w:rsidRPr="009A3EE3">
        <w:rPr>
          <w:rFonts w:ascii="Arial" w:eastAsia="Times New Roman" w:hAnsi="Arial" w:cs="Arial"/>
          <w:sz w:val="20"/>
          <w:szCs w:val="20"/>
        </w:rPr>
        <w:t xml:space="preserve"> or units with continuous oxygen trim systems that maintain an optimum air to fuel ratio.</w:t>
      </w:r>
    </w:p>
    <w:p w:rsidR="009A3EE3" w:rsidRPr="009A3EE3" w:rsidRDefault="009A3EE3" w:rsidP="009A3EE3">
      <w:pPr>
        <w:spacing w:before="100" w:beforeAutospacing="1" w:after="100" w:afterAutospacing="1" w:line="240" w:lineRule="auto"/>
        <w:ind w:firstLine="480"/>
        <w:rPr>
          <w:rFonts w:ascii="Arial" w:eastAsia="Times New Roman" w:hAnsi="Arial" w:cs="Arial"/>
          <w:sz w:val="20"/>
          <w:szCs w:val="20"/>
        </w:rPr>
      </w:pPr>
      <w:r w:rsidRPr="009A3EE3">
        <w:rPr>
          <w:rFonts w:ascii="Arial" w:eastAsia="Times New Roman" w:hAnsi="Arial" w:cs="Arial"/>
          <w:sz w:val="20"/>
          <w:szCs w:val="20"/>
        </w:rPr>
        <w:t>(</w:t>
      </w:r>
      <w:proofErr w:type="spellStart"/>
      <w:r w:rsidRPr="009A3EE3">
        <w:rPr>
          <w:rFonts w:ascii="Arial" w:eastAsia="Times New Roman" w:hAnsi="Arial" w:cs="Arial"/>
          <w:sz w:val="20"/>
          <w:szCs w:val="20"/>
        </w:rPr>
        <w:t>i</w:t>
      </w:r>
      <w:proofErr w:type="spellEnd"/>
      <w:r w:rsidRPr="009A3EE3">
        <w:rPr>
          <w:rFonts w:ascii="Arial" w:eastAsia="Times New Roman" w:hAnsi="Arial" w:cs="Arial"/>
          <w:sz w:val="20"/>
          <w:szCs w:val="20"/>
        </w:rPr>
        <w:t>) As applicable, inspect the burner, and clean or replace any components of the burner as necessary (you may perform the burner inspection any time prior to the tune-up or delay the burner inspection until the next scheduled unit shutdown). Units that produce electricity for sale may delay the burner inspection until the first outage, not to exceed 36 months from the previous inspection. At units where entry into a piece of process equipment or into a storage vessel is required to complete the tune-up inspections, inspections are required only during planned entries into the storage vessel or process equipment;</w:t>
      </w:r>
    </w:p>
    <w:p w:rsidR="009A3EE3" w:rsidRPr="009A3EE3" w:rsidRDefault="009A3EE3" w:rsidP="009A3EE3">
      <w:pPr>
        <w:spacing w:before="100" w:beforeAutospacing="1" w:after="100" w:afterAutospacing="1" w:line="240" w:lineRule="auto"/>
        <w:ind w:firstLine="480"/>
        <w:rPr>
          <w:rFonts w:ascii="Arial" w:eastAsia="Times New Roman" w:hAnsi="Arial" w:cs="Arial"/>
          <w:sz w:val="20"/>
          <w:szCs w:val="20"/>
        </w:rPr>
      </w:pPr>
      <w:r w:rsidRPr="009A3EE3">
        <w:rPr>
          <w:rFonts w:ascii="Arial" w:eastAsia="Times New Roman" w:hAnsi="Arial" w:cs="Arial"/>
          <w:sz w:val="20"/>
          <w:szCs w:val="20"/>
        </w:rPr>
        <w:t>(ii) Inspect the flame pattern, as applicable, and adjust the burner as necessary to optimize the flame pattern. The adjustment should be consistent with the manufacturer's specifications, if available;</w:t>
      </w:r>
    </w:p>
    <w:p w:rsidR="009A3EE3" w:rsidRPr="009A3EE3" w:rsidRDefault="009A3EE3" w:rsidP="009A3EE3">
      <w:pPr>
        <w:spacing w:before="100" w:beforeAutospacing="1" w:after="100" w:afterAutospacing="1" w:line="240" w:lineRule="auto"/>
        <w:ind w:firstLine="480"/>
        <w:rPr>
          <w:rFonts w:ascii="Arial" w:eastAsia="Times New Roman" w:hAnsi="Arial" w:cs="Arial"/>
          <w:sz w:val="20"/>
          <w:szCs w:val="20"/>
        </w:rPr>
      </w:pPr>
      <w:r w:rsidRPr="009A3EE3">
        <w:rPr>
          <w:rFonts w:ascii="Arial" w:eastAsia="Times New Roman" w:hAnsi="Arial" w:cs="Arial"/>
          <w:sz w:val="20"/>
          <w:szCs w:val="20"/>
        </w:rPr>
        <w:t>(iii) Inspect the system controlling the air-to-fuel ratio, as applicable, and ensure that it is correctly calibrated and functioning properly (you may delay the inspection until the next scheduled unit shutdown). Units that produce electricity for sale may delay the inspection until the first outage, not to exceed 36 months from the previous inspection;</w:t>
      </w:r>
    </w:p>
    <w:p w:rsidR="009A3EE3" w:rsidRPr="009A3EE3" w:rsidRDefault="009A3EE3" w:rsidP="009A3EE3">
      <w:pPr>
        <w:spacing w:before="100" w:beforeAutospacing="1" w:after="100" w:afterAutospacing="1" w:line="240" w:lineRule="auto"/>
        <w:ind w:firstLine="480"/>
        <w:rPr>
          <w:rFonts w:ascii="Arial" w:eastAsia="Times New Roman" w:hAnsi="Arial" w:cs="Arial"/>
          <w:sz w:val="20"/>
          <w:szCs w:val="20"/>
        </w:rPr>
      </w:pPr>
      <w:proofErr w:type="gramStart"/>
      <w:r w:rsidRPr="009A3EE3">
        <w:rPr>
          <w:rFonts w:ascii="Arial" w:eastAsia="Times New Roman" w:hAnsi="Arial" w:cs="Arial"/>
          <w:sz w:val="20"/>
          <w:szCs w:val="20"/>
        </w:rPr>
        <w:lastRenderedPageBreak/>
        <w:t>(iv) Optimize</w:t>
      </w:r>
      <w:proofErr w:type="gramEnd"/>
      <w:r w:rsidRPr="009A3EE3">
        <w:rPr>
          <w:rFonts w:ascii="Arial" w:eastAsia="Times New Roman" w:hAnsi="Arial" w:cs="Arial"/>
          <w:sz w:val="20"/>
          <w:szCs w:val="20"/>
        </w:rPr>
        <w:t xml:space="preserve"> total emissions of CO. This optimization should be consistent with the manufacturer's specifications, if available, and with any NO</w:t>
      </w:r>
      <w:r w:rsidRPr="009A3EE3">
        <w:rPr>
          <w:rFonts w:ascii="Arial" w:eastAsia="Times New Roman" w:hAnsi="Arial" w:cs="Arial"/>
          <w:sz w:val="14"/>
          <w:szCs w:val="14"/>
          <w:vertAlign w:val="subscript"/>
        </w:rPr>
        <w:t>X</w:t>
      </w:r>
      <w:r w:rsidRPr="009A3EE3">
        <w:rPr>
          <w:rFonts w:ascii="Arial" w:eastAsia="Times New Roman" w:hAnsi="Arial" w:cs="Arial"/>
          <w:sz w:val="20"/>
          <w:szCs w:val="20"/>
        </w:rPr>
        <w:t xml:space="preserve"> requirement to which the unit is subject;</w:t>
      </w:r>
    </w:p>
    <w:p w:rsidR="009A3EE3" w:rsidRPr="009A3EE3" w:rsidRDefault="009A3EE3" w:rsidP="009A3EE3">
      <w:pPr>
        <w:spacing w:before="100" w:beforeAutospacing="1" w:after="100" w:afterAutospacing="1" w:line="240" w:lineRule="auto"/>
        <w:ind w:firstLine="480"/>
        <w:rPr>
          <w:rFonts w:ascii="Arial" w:eastAsia="Times New Roman" w:hAnsi="Arial" w:cs="Arial"/>
          <w:sz w:val="20"/>
          <w:szCs w:val="20"/>
        </w:rPr>
      </w:pPr>
      <w:r w:rsidRPr="009A3EE3">
        <w:rPr>
          <w:rFonts w:ascii="Arial" w:eastAsia="Times New Roman" w:hAnsi="Arial" w:cs="Arial"/>
          <w:sz w:val="20"/>
          <w:szCs w:val="20"/>
        </w:rPr>
        <w:t>(v) 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rsidR="009A3EE3" w:rsidRPr="009A3EE3" w:rsidRDefault="009A3EE3" w:rsidP="009A3EE3">
      <w:pPr>
        <w:spacing w:before="100" w:beforeAutospacing="1" w:after="100" w:afterAutospacing="1" w:line="240" w:lineRule="auto"/>
        <w:ind w:firstLine="480"/>
        <w:rPr>
          <w:rFonts w:ascii="Arial" w:eastAsia="Times New Roman" w:hAnsi="Arial" w:cs="Arial"/>
          <w:sz w:val="20"/>
          <w:szCs w:val="20"/>
        </w:rPr>
      </w:pPr>
      <w:r w:rsidRPr="009A3EE3">
        <w:rPr>
          <w:rFonts w:ascii="Arial" w:eastAsia="Times New Roman" w:hAnsi="Arial" w:cs="Arial"/>
          <w:sz w:val="20"/>
          <w:szCs w:val="20"/>
        </w:rPr>
        <w:t>(vi) Maintain on-site and submit, if requested by the Administrator, a report containing the information in paragraphs (a</w:t>
      </w:r>
      <w:proofErr w:type="gramStart"/>
      <w:r w:rsidRPr="009A3EE3">
        <w:rPr>
          <w:rFonts w:ascii="Arial" w:eastAsia="Times New Roman" w:hAnsi="Arial" w:cs="Arial"/>
          <w:sz w:val="20"/>
          <w:szCs w:val="20"/>
        </w:rPr>
        <w:t>)(</w:t>
      </w:r>
      <w:proofErr w:type="gramEnd"/>
      <w:r w:rsidRPr="009A3EE3">
        <w:rPr>
          <w:rFonts w:ascii="Arial" w:eastAsia="Times New Roman" w:hAnsi="Arial" w:cs="Arial"/>
          <w:sz w:val="20"/>
          <w:szCs w:val="20"/>
        </w:rPr>
        <w:t>10)(vi)(A) through (C) of this section,</w:t>
      </w:r>
    </w:p>
    <w:p w:rsidR="009A3EE3" w:rsidRPr="009A3EE3" w:rsidRDefault="009A3EE3" w:rsidP="009A3EE3">
      <w:pPr>
        <w:spacing w:before="100" w:beforeAutospacing="1" w:after="100" w:afterAutospacing="1" w:line="240" w:lineRule="auto"/>
        <w:ind w:firstLine="480"/>
        <w:rPr>
          <w:rFonts w:ascii="Arial" w:eastAsia="Times New Roman" w:hAnsi="Arial" w:cs="Arial"/>
          <w:sz w:val="20"/>
          <w:szCs w:val="20"/>
        </w:rPr>
      </w:pPr>
      <w:r w:rsidRPr="009A3EE3">
        <w:rPr>
          <w:rFonts w:ascii="Arial" w:eastAsia="Times New Roman" w:hAnsi="Arial" w:cs="Arial"/>
          <w:sz w:val="20"/>
          <w:szCs w:val="20"/>
        </w:rPr>
        <w:t>(A) The concentrations of CO in the effluent stream in parts per million by volume, and oxygen in volume percent, measured at high fire or typical operating load, before and after the tune-up of the process heater;</w:t>
      </w:r>
    </w:p>
    <w:p w:rsidR="009A3EE3" w:rsidRPr="009A3EE3" w:rsidRDefault="009A3EE3" w:rsidP="009A3EE3">
      <w:pPr>
        <w:spacing w:before="100" w:beforeAutospacing="1" w:after="100" w:afterAutospacing="1" w:line="240" w:lineRule="auto"/>
        <w:ind w:firstLine="480"/>
        <w:rPr>
          <w:rFonts w:ascii="Arial" w:eastAsia="Times New Roman" w:hAnsi="Arial" w:cs="Arial"/>
          <w:sz w:val="20"/>
          <w:szCs w:val="20"/>
        </w:rPr>
      </w:pPr>
      <w:r w:rsidRPr="009A3EE3">
        <w:rPr>
          <w:rFonts w:ascii="Arial" w:eastAsia="Times New Roman" w:hAnsi="Arial" w:cs="Arial"/>
          <w:sz w:val="20"/>
          <w:szCs w:val="20"/>
        </w:rPr>
        <w:t>(B) A description of any corrective actions taken as a part of the tune-up; and</w:t>
      </w:r>
    </w:p>
    <w:p w:rsidR="009A3EE3" w:rsidRPr="009A3EE3" w:rsidRDefault="009A3EE3" w:rsidP="009A3EE3">
      <w:pPr>
        <w:spacing w:before="100" w:beforeAutospacing="1" w:after="100" w:afterAutospacing="1" w:line="240" w:lineRule="auto"/>
        <w:ind w:firstLine="480"/>
        <w:rPr>
          <w:rFonts w:ascii="Arial" w:eastAsia="Times New Roman" w:hAnsi="Arial" w:cs="Arial"/>
          <w:sz w:val="20"/>
          <w:szCs w:val="20"/>
        </w:rPr>
      </w:pPr>
      <w:r w:rsidRPr="009A3EE3">
        <w:rPr>
          <w:rFonts w:ascii="Arial" w:eastAsia="Times New Roman" w:hAnsi="Arial" w:cs="Arial"/>
          <w:sz w:val="20"/>
          <w:szCs w:val="20"/>
        </w:rPr>
        <w:t>(C) The type and amount of fuel used over the 12 months prior to the tune-up, but only if the unit was physically and legally capable of using more than one type of fuel during that period. Units sharing a fuel meter may estimate the fuel used by each unit.</w:t>
      </w:r>
    </w:p>
    <w:p w:rsidR="009A3EE3" w:rsidRPr="00DD0501" w:rsidRDefault="009A3EE3" w:rsidP="009A3EE3">
      <w:pPr>
        <w:spacing w:before="100" w:beforeAutospacing="1" w:after="100" w:afterAutospacing="1" w:line="240" w:lineRule="auto"/>
        <w:ind w:firstLine="480"/>
        <w:rPr>
          <w:rFonts w:ascii="Arial" w:eastAsia="Times New Roman" w:hAnsi="Arial" w:cs="Arial"/>
          <w:b/>
          <w:sz w:val="20"/>
          <w:szCs w:val="20"/>
        </w:rPr>
      </w:pPr>
      <w:r>
        <w:rPr>
          <w:rFonts w:ascii="Arial" w:hAnsi="Arial" w:cs="Arial"/>
          <w:sz w:val="20"/>
          <w:szCs w:val="20"/>
        </w:rPr>
        <w:t>(13) If the unit is not operating on the required date for a tune-up, the tune-up must be conducted within 30 calendar days of startup.</w:t>
      </w:r>
    </w:p>
    <w:p w:rsidR="009A3EE3" w:rsidRDefault="009A3EE3" w:rsidP="009A3EE3">
      <w:pPr>
        <w:pStyle w:val="Heading2"/>
        <w:jc w:val="left"/>
        <w:rPr>
          <w:rFonts w:ascii="Arial" w:hAnsi="Arial" w:cs="Arial"/>
        </w:rPr>
      </w:pPr>
      <w:r>
        <w:rPr>
          <w:rFonts w:ascii="Arial" w:hAnsi="Arial" w:cs="Arial"/>
        </w:rPr>
        <w:t>§63.7545   What notifications must I submit and when?</w:t>
      </w:r>
    </w:p>
    <w:p w:rsidR="009A3EE3" w:rsidRDefault="009A3EE3" w:rsidP="009A3EE3">
      <w:pPr>
        <w:pStyle w:val="NormalWeb"/>
        <w:rPr>
          <w:rFonts w:ascii="Arial" w:hAnsi="Arial" w:cs="Arial"/>
          <w:sz w:val="20"/>
          <w:szCs w:val="20"/>
        </w:rPr>
      </w:pPr>
      <w:r>
        <w:rPr>
          <w:rFonts w:ascii="Arial" w:hAnsi="Arial" w:cs="Arial"/>
          <w:sz w:val="20"/>
          <w:szCs w:val="20"/>
        </w:rPr>
        <w:t>(a) You must submit to the Administrator all of the notifications in §§63.7(b) and (c), 63.8(e), (f</w:t>
      </w:r>
      <w:proofErr w:type="gramStart"/>
      <w:r>
        <w:rPr>
          <w:rFonts w:ascii="Arial" w:hAnsi="Arial" w:cs="Arial"/>
          <w:sz w:val="20"/>
          <w:szCs w:val="20"/>
        </w:rPr>
        <w:t>)(</w:t>
      </w:r>
      <w:proofErr w:type="gramEnd"/>
      <w:r>
        <w:rPr>
          <w:rFonts w:ascii="Arial" w:hAnsi="Arial" w:cs="Arial"/>
          <w:sz w:val="20"/>
          <w:szCs w:val="20"/>
        </w:rPr>
        <w:t>4) and (6), and 63.9(b) through (h) that apply to you by the dates specified.</w:t>
      </w:r>
    </w:p>
    <w:p w:rsidR="00834F4C" w:rsidRDefault="00834F4C" w:rsidP="00834F4C">
      <w:pPr>
        <w:pStyle w:val="Heading2"/>
        <w:jc w:val="left"/>
        <w:rPr>
          <w:rFonts w:ascii="Arial" w:hAnsi="Arial" w:cs="Arial"/>
        </w:rPr>
      </w:pPr>
      <w:r>
        <w:rPr>
          <w:rFonts w:ascii="Arial" w:hAnsi="Arial" w:cs="Arial"/>
        </w:rPr>
        <w:t>§63.7550   </w:t>
      </w:r>
      <w:proofErr w:type="gramStart"/>
      <w:r>
        <w:rPr>
          <w:rFonts w:ascii="Arial" w:hAnsi="Arial" w:cs="Arial"/>
        </w:rPr>
        <w:t>What</w:t>
      </w:r>
      <w:proofErr w:type="gramEnd"/>
      <w:r>
        <w:rPr>
          <w:rFonts w:ascii="Arial" w:hAnsi="Arial" w:cs="Arial"/>
        </w:rPr>
        <w:t xml:space="preserve"> reports must I submit and when?</w:t>
      </w:r>
    </w:p>
    <w:p w:rsidR="00834F4C" w:rsidRDefault="00834F4C" w:rsidP="00834F4C">
      <w:pPr>
        <w:pStyle w:val="NormalWeb"/>
        <w:rPr>
          <w:rFonts w:ascii="Arial" w:hAnsi="Arial" w:cs="Arial"/>
          <w:sz w:val="20"/>
          <w:szCs w:val="20"/>
        </w:rPr>
      </w:pPr>
      <w:r>
        <w:rPr>
          <w:rFonts w:ascii="Arial" w:hAnsi="Arial" w:cs="Arial"/>
          <w:sz w:val="20"/>
          <w:szCs w:val="20"/>
        </w:rPr>
        <w:t>(a) You must submit each report in Table 9 to this subpart that applies to you.</w:t>
      </w:r>
    </w:p>
    <w:p w:rsidR="00834F4C" w:rsidRDefault="00834F4C" w:rsidP="00834F4C">
      <w:pPr>
        <w:pStyle w:val="NormalWeb"/>
        <w:rPr>
          <w:rFonts w:ascii="Arial" w:hAnsi="Arial" w:cs="Arial"/>
          <w:sz w:val="20"/>
          <w:szCs w:val="20"/>
        </w:rPr>
      </w:pPr>
      <w:r>
        <w:rPr>
          <w:rFonts w:ascii="Arial" w:hAnsi="Arial" w:cs="Arial"/>
          <w:sz w:val="20"/>
          <w:szCs w:val="20"/>
        </w:rPr>
        <w:t>(b) Unless the EPA Administrator has approved a different schedule for submission of reports under §63.10(a), you must submit each report, according to paragraph (h) of this section, by the date in Table 9 to this subpart and according to the requirements in paragraphs (b)(1) through (4) of this section. For units that are subject only to a requirement to conduct subsequent annual tune-up according to §63.7540(a</w:t>
      </w:r>
      <w:proofErr w:type="gramStart"/>
      <w:r>
        <w:rPr>
          <w:rFonts w:ascii="Arial" w:hAnsi="Arial" w:cs="Arial"/>
          <w:sz w:val="20"/>
          <w:szCs w:val="20"/>
        </w:rPr>
        <w:t>)(</w:t>
      </w:r>
      <w:proofErr w:type="gramEnd"/>
      <w:r>
        <w:rPr>
          <w:rFonts w:ascii="Arial" w:hAnsi="Arial" w:cs="Arial"/>
          <w:sz w:val="20"/>
          <w:szCs w:val="20"/>
        </w:rPr>
        <w:t>10), and not subject to emission limits or Table 4 operating limits, you may submit only an annual, biennial, or 5-year compliance report, as applicable, as specified in paragraphs (b)(1) through (4) of this section, instead of a semi-annual compliance report.</w:t>
      </w:r>
    </w:p>
    <w:p w:rsidR="00834F4C" w:rsidRDefault="00834F4C" w:rsidP="00834F4C">
      <w:pPr>
        <w:pStyle w:val="NormalWeb"/>
        <w:rPr>
          <w:rFonts w:ascii="Arial" w:hAnsi="Arial" w:cs="Arial"/>
          <w:sz w:val="20"/>
          <w:szCs w:val="20"/>
        </w:rPr>
      </w:pPr>
      <w:r>
        <w:rPr>
          <w:rFonts w:ascii="Arial" w:hAnsi="Arial" w:cs="Arial"/>
          <w:sz w:val="20"/>
          <w:szCs w:val="20"/>
        </w:rPr>
        <w:t>(1) The first semi-annual compliance report must cover the period beginning on the compliance date that is specified for each process heater in §63.7495 and ending on June 30 or December 31, whichever date is the first date that occurs at least 180 days after the compliance date that is specified for your source in §63.7495. If submitting an annual, biennial, or 5-year compliance report, the first compliance report must cover the period beginning on the compliance date that is specified for each process heater in §63.7495 and ending on December 31 within 1, 2, or 5 years, as applicable, after the compliance date that is specified for your source in §63.7495.</w:t>
      </w:r>
    </w:p>
    <w:p w:rsidR="00834F4C" w:rsidRDefault="00834F4C" w:rsidP="00834F4C">
      <w:pPr>
        <w:pStyle w:val="NormalWeb"/>
        <w:rPr>
          <w:rFonts w:ascii="Arial" w:hAnsi="Arial" w:cs="Arial"/>
          <w:sz w:val="20"/>
          <w:szCs w:val="20"/>
        </w:rPr>
      </w:pPr>
      <w:r>
        <w:rPr>
          <w:rFonts w:ascii="Arial" w:hAnsi="Arial" w:cs="Arial"/>
          <w:sz w:val="20"/>
          <w:szCs w:val="20"/>
        </w:rPr>
        <w:t>(2) The first semi-annual compliance report must be postmarked or submitted no later than July 31 or January 31, whichever date is the first date following the end of the first calendar half after the compliance date that is specified for each process heater in §63.7495. The first annual, biennial, or 5-year compliance report must be postmarked or submitted no later than January 31.</w:t>
      </w:r>
    </w:p>
    <w:p w:rsidR="00834F4C" w:rsidRDefault="00834F4C" w:rsidP="00834F4C">
      <w:pPr>
        <w:pStyle w:val="NormalWeb"/>
        <w:rPr>
          <w:rFonts w:ascii="Arial" w:hAnsi="Arial" w:cs="Arial"/>
          <w:sz w:val="20"/>
          <w:szCs w:val="20"/>
        </w:rPr>
      </w:pPr>
      <w:r>
        <w:rPr>
          <w:rFonts w:ascii="Arial" w:hAnsi="Arial" w:cs="Arial"/>
          <w:sz w:val="20"/>
          <w:szCs w:val="20"/>
        </w:rPr>
        <w:lastRenderedPageBreak/>
        <w:t>(3) Each subsequent semi-annual compliance report must cover the semiannual reporting period from January 1 through June 30 or the semiannual reporting period from July 1 through December 31. Annual, biennial, and 5-year compliance reports must cover the applicable 1-, 2-, or 5-year periods from January 1 to December 31.</w:t>
      </w:r>
    </w:p>
    <w:p w:rsidR="00834F4C" w:rsidRDefault="00834F4C" w:rsidP="00834F4C">
      <w:pPr>
        <w:pStyle w:val="NormalWeb"/>
        <w:rPr>
          <w:rFonts w:ascii="Arial" w:hAnsi="Arial" w:cs="Arial"/>
          <w:sz w:val="20"/>
          <w:szCs w:val="20"/>
        </w:rPr>
      </w:pPr>
      <w:r>
        <w:rPr>
          <w:rFonts w:ascii="Arial" w:hAnsi="Arial" w:cs="Arial"/>
          <w:sz w:val="20"/>
          <w:szCs w:val="20"/>
        </w:rPr>
        <w:t>(4) Each subsequent semi-annual compliance report must be postmarked or submitted no later than July 31 or January 31, whichever date is the first date following the end of the semiannual reporting period. Annual, biennial, and 5-year compliance reports must be postmarked or submitted no later than January 31.</w:t>
      </w:r>
    </w:p>
    <w:p w:rsidR="00834F4C" w:rsidRDefault="00834F4C" w:rsidP="00834F4C">
      <w:pPr>
        <w:pStyle w:val="NormalWeb"/>
        <w:rPr>
          <w:rFonts w:ascii="Arial" w:hAnsi="Arial" w:cs="Arial"/>
          <w:sz w:val="20"/>
          <w:szCs w:val="20"/>
        </w:rPr>
      </w:pPr>
      <w:r>
        <w:rPr>
          <w:rFonts w:ascii="Arial" w:hAnsi="Arial" w:cs="Arial"/>
          <w:sz w:val="20"/>
          <w:szCs w:val="20"/>
        </w:rPr>
        <w:t>(5) For each affected source that is subject to permitting regulations pursuant to part 70 or part 71 of this chapter, and if the permitting authority has established dates for submitting semiannual reports pursuant to 70.6(a)(3)(iii)(A) or 71.6(a)(3)(iii)(A), you may submit the first and subsequent compliance reports according to the dates the permitting authority has established in the permit instead of according to the dates in paragraphs (b)(1) through (4) of this section.</w:t>
      </w:r>
    </w:p>
    <w:p w:rsidR="00834F4C" w:rsidRDefault="00834F4C" w:rsidP="00834F4C">
      <w:pPr>
        <w:pStyle w:val="NormalWeb"/>
        <w:rPr>
          <w:rFonts w:ascii="Arial" w:hAnsi="Arial" w:cs="Arial"/>
          <w:sz w:val="20"/>
          <w:szCs w:val="20"/>
        </w:rPr>
      </w:pPr>
      <w:r>
        <w:rPr>
          <w:rFonts w:ascii="Arial" w:hAnsi="Arial" w:cs="Arial"/>
          <w:sz w:val="20"/>
          <w:szCs w:val="20"/>
        </w:rPr>
        <w:t>(c) A compliance report must contain the following information depending on how the facility chooses to comply with the limits set in this rule.</w:t>
      </w:r>
    </w:p>
    <w:p w:rsidR="00834F4C" w:rsidRDefault="00834F4C" w:rsidP="00834F4C">
      <w:pPr>
        <w:pStyle w:val="NormalWeb"/>
        <w:rPr>
          <w:rFonts w:ascii="Arial" w:hAnsi="Arial" w:cs="Arial"/>
          <w:sz w:val="20"/>
          <w:szCs w:val="20"/>
        </w:rPr>
      </w:pPr>
      <w:r>
        <w:rPr>
          <w:rFonts w:ascii="Arial" w:hAnsi="Arial" w:cs="Arial"/>
          <w:sz w:val="20"/>
          <w:szCs w:val="20"/>
        </w:rPr>
        <w:t>(1) If the facility is subject to the requirements of a tune up you must submit a compliance report with the information in paragraphs (c</w:t>
      </w:r>
      <w:proofErr w:type="gramStart"/>
      <w:r>
        <w:rPr>
          <w:rFonts w:ascii="Arial" w:hAnsi="Arial" w:cs="Arial"/>
          <w:sz w:val="20"/>
          <w:szCs w:val="20"/>
        </w:rPr>
        <w:t>)(</w:t>
      </w:r>
      <w:proofErr w:type="gramEnd"/>
      <w:r>
        <w:rPr>
          <w:rFonts w:ascii="Arial" w:hAnsi="Arial" w:cs="Arial"/>
          <w:sz w:val="20"/>
          <w:szCs w:val="20"/>
        </w:rPr>
        <w:t>5)(</w:t>
      </w:r>
      <w:proofErr w:type="spellStart"/>
      <w:r>
        <w:rPr>
          <w:rFonts w:ascii="Arial" w:hAnsi="Arial" w:cs="Arial"/>
          <w:sz w:val="20"/>
          <w:szCs w:val="20"/>
        </w:rPr>
        <w:t>i</w:t>
      </w:r>
      <w:proofErr w:type="spellEnd"/>
      <w:r>
        <w:rPr>
          <w:rFonts w:ascii="Arial" w:hAnsi="Arial" w:cs="Arial"/>
          <w:sz w:val="20"/>
          <w:szCs w:val="20"/>
        </w:rPr>
        <w:t>) through (iii) of this section, (xiv) and (xvii) of this section, and paragraph (c)(5)(iv) of this section for limited-use process heater.</w:t>
      </w:r>
    </w:p>
    <w:p w:rsidR="00834F4C" w:rsidRPr="00834F4C" w:rsidRDefault="00834F4C" w:rsidP="00834F4C">
      <w:pPr>
        <w:spacing w:before="100" w:beforeAutospacing="1" w:after="100" w:afterAutospacing="1" w:line="240" w:lineRule="auto"/>
        <w:ind w:firstLine="480"/>
        <w:rPr>
          <w:rFonts w:ascii="Arial" w:eastAsia="Times New Roman" w:hAnsi="Arial" w:cs="Arial"/>
          <w:sz w:val="20"/>
          <w:szCs w:val="20"/>
        </w:rPr>
      </w:pPr>
      <w:r w:rsidRPr="00834F4C">
        <w:rPr>
          <w:rFonts w:ascii="Arial" w:eastAsia="Times New Roman" w:hAnsi="Arial" w:cs="Arial"/>
          <w:sz w:val="20"/>
          <w:szCs w:val="20"/>
        </w:rPr>
        <w:t>(5)(</w:t>
      </w:r>
      <w:proofErr w:type="spellStart"/>
      <w:r w:rsidRPr="00834F4C">
        <w:rPr>
          <w:rFonts w:ascii="Arial" w:eastAsia="Times New Roman" w:hAnsi="Arial" w:cs="Arial"/>
          <w:sz w:val="20"/>
          <w:szCs w:val="20"/>
        </w:rPr>
        <w:t>i</w:t>
      </w:r>
      <w:proofErr w:type="spellEnd"/>
      <w:r w:rsidRPr="00834F4C">
        <w:rPr>
          <w:rFonts w:ascii="Arial" w:eastAsia="Times New Roman" w:hAnsi="Arial" w:cs="Arial"/>
          <w:sz w:val="20"/>
          <w:szCs w:val="20"/>
        </w:rPr>
        <w:t>) Company and Facility name and address.</w:t>
      </w:r>
    </w:p>
    <w:p w:rsidR="00834F4C" w:rsidRPr="00834F4C" w:rsidRDefault="00834F4C" w:rsidP="00834F4C">
      <w:pPr>
        <w:spacing w:before="100" w:beforeAutospacing="1" w:after="100" w:afterAutospacing="1" w:line="240" w:lineRule="auto"/>
        <w:ind w:firstLine="480"/>
        <w:rPr>
          <w:rFonts w:ascii="Arial" w:eastAsia="Times New Roman" w:hAnsi="Arial" w:cs="Arial"/>
          <w:sz w:val="20"/>
          <w:szCs w:val="20"/>
        </w:rPr>
      </w:pPr>
      <w:r w:rsidRPr="00834F4C">
        <w:rPr>
          <w:rFonts w:ascii="Arial" w:eastAsia="Times New Roman" w:hAnsi="Arial" w:cs="Arial"/>
          <w:sz w:val="20"/>
          <w:szCs w:val="20"/>
        </w:rPr>
        <w:t>(ii) Process unit information.</w:t>
      </w:r>
    </w:p>
    <w:p w:rsidR="00834F4C" w:rsidRPr="00834F4C" w:rsidRDefault="00834F4C" w:rsidP="00834F4C">
      <w:pPr>
        <w:spacing w:before="100" w:beforeAutospacing="1" w:after="100" w:afterAutospacing="1" w:line="240" w:lineRule="auto"/>
        <w:ind w:firstLine="480"/>
        <w:rPr>
          <w:rFonts w:ascii="Arial" w:eastAsia="Times New Roman" w:hAnsi="Arial" w:cs="Arial"/>
          <w:sz w:val="20"/>
          <w:szCs w:val="20"/>
        </w:rPr>
      </w:pPr>
      <w:r w:rsidRPr="00834F4C">
        <w:rPr>
          <w:rFonts w:ascii="Arial" w:eastAsia="Times New Roman" w:hAnsi="Arial" w:cs="Arial"/>
          <w:sz w:val="20"/>
          <w:szCs w:val="20"/>
        </w:rPr>
        <w:t>(iii) Date of report and beginning and ending dates of the reporting period.</w:t>
      </w:r>
    </w:p>
    <w:p w:rsidR="00834F4C" w:rsidRPr="00834F4C" w:rsidRDefault="00834F4C" w:rsidP="00834F4C">
      <w:pPr>
        <w:spacing w:before="100" w:beforeAutospacing="1" w:after="100" w:afterAutospacing="1" w:line="240" w:lineRule="auto"/>
        <w:ind w:firstLine="480"/>
        <w:rPr>
          <w:rFonts w:ascii="Arial" w:eastAsia="Times New Roman" w:hAnsi="Arial" w:cs="Arial"/>
          <w:sz w:val="20"/>
          <w:szCs w:val="20"/>
        </w:rPr>
      </w:pPr>
      <w:proofErr w:type="gramStart"/>
      <w:r w:rsidRPr="00834F4C">
        <w:rPr>
          <w:rFonts w:ascii="Arial" w:eastAsia="Times New Roman" w:hAnsi="Arial" w:cs="Arial"/>
          <w:sz w:val="20"/>
          <w:szCs w:val="20"/>
        </w:rPr>
        <w:t>(iv) The</w:t>
      </w:r>
      <w:proofErr w:type="gramEnd"/>
      <w:r w:rsidRPr="00834F4C">
        <w:rPr>
          <w:rFonts w:ascii="Arial" w:eastAsia="Times New Roman" w:hAnsi="Arial" w:cs="Arial"/>
          <w:sz w:val="20"/>
          <w:szCs w:val="20"/>
        </w:rPr>
        <w:t xml:space="preserve"> total operating time during the reporting period.</w:t>
      </w:r>
    </w:p>
    <w:p w:rsidR="009A3EE3" w:rsidRDefault="00834F4C" w:rsidP="009A3EE3">
      <w:pPr>
        <w:pStyle w:val="NormalWeb"/>
        <w:rPr>
          <w:rFonts w:ascii="Arial" w:hAnsi="Arial" w:cs="Arial"/>
          <w:sz w:val="20"/>
          <w:szCs w:val="20"/>
        </w:rPr>
      </w:pPr>
      <w:r>
        <w:rPr>
          <w:rFonts w:ascii="Arial" w:hAnsi="Arial" w:cs="Arial"/>
          <w:sz w:val="20"/>
          <w:szCs w:val="20"/>
        </w:rPr>
        <w:t>(x) A summary of any monthly fuel analyses conducted to demonstrate compliance according to §§63.7521 and 63.7530 for individual process heaters subject to emission limits, and any fuel specification analyses conducted according to §§63.7521(f) and 63.7530(g).</w:t>
      </w:r>
    </w:p>
    <w:p w:rsidR="00DD0501" w:rsidRPr="00DD0501" w:rsidRDefault="00834F4C" w:rsidP="00834F4C">
      <w:pPr>
        <w:pStyle w:val="NormalWeb"/>
        <w:jc w:val="both"/>
        <w:rPr>
          <w:rFonts w:ascii="Arial" w:hAnsi="Arial" w:cs="Arial"/>
          <w:b/>
          <w:sz w:val="20"/>
          <w:szCs w:val="20"/>
        </w:rPr>
      </w:pPr>
      <w:r>
        <w:rPr>
          <w:rFonts w:ascii="Arial" w:hAnsi="Arial" w:cs="Arial"/>
          <w:sz w:val="20"/>
          <w:szCs w:val="20"/>
        </w:rPr>
        <w:t>(xiv) Include the date of the most recent tune-up for each unit subject to only the requirement to conduct an annual, biennial, or 5-year tune-up according to §63.7540(a)(10), (11), or (12) respectively. Include the date of the most recent burner inspection if it was not done annually, biennially, or on a 5-year period and was delayed until the next scheduled or unscheduled unit shutdown.</w:t>
      </w:r>
    </w:p>
    <w:p w:rsidR="00B2262A" w:rsidRDefault="00834F4C" w:rsidP="00B2262A">
      <w:pPr>
        <w:ind w:firstLine="480"/>
        <w:rPr>
          <w:rFonts w:ascii="Arial" w:hAnsi="Arial" w:cs="Arial"/>
          <w:sz w:val="20"/>
          <w:szCs w:val="20"/>
        </w:rPr>
      </w:pPr>
      <w:r>
        <w:rPr>
          <w:rFonts w:ascii="Arial" w:hAnsi="Arial" w:cs="Arial"/>
          <w:sz w:val="20"/>
          <w:szCs w:val="20"/>
        </w:rPr>
        <w:t>(xvii) Statement by a responsible official with that official's name, title, and signature, certifying the truth, accuracy, and completeness of the content of the report.</w:t>
      </w:r>
    </w:p>
    <w:p w:rsidR="00834F4C" w:rsidRDefault="00010217" w:rsidP="00B2262A">
      <w:pPr>
        <w:ind w:firstLine="480"/>
        <w:rPr>
          <w:rFonts w:ascii="Arial" w:hAnsi="Arial" w:cs="Arial"/>
          <w:sz w:val="20"/>
          <w:szCs w:val="20"/>
        </w:rPr>
      </w:pPr>
      <w:r>
        <w:rPr>
          <w:rFonts w:ascii="Arial" w:hAnsi="Arial" w:cs="Arial"/>
          <w:sz w:val="20"/>
          <w:szCs w:val="20"/>
        </w:rPr>
        <w:t>(h) You must submit the reports according to the procedures specified in paragraphs (h</w:t>
      </w:r>
      <w:proofErr w:type="gramStart"/>
      <w:r>
        <w:rPr>
          <w:rFonts w:ascii="Arial" w:hAnsi="Arial" w:cs="Arial"/>
          <w:sz w:val="20"/>
          <w:szCs w:val="20"/>
        </w:rPr>
        <w:t>)(</w:t>
      </w:r>
      <w:proofErr w:type="gramEnd"/>
      <w:r>
        <w:rPr>
          <w:rFonts w:ascii="Arial" w:hAnsi="Arial" w:cs="Arial"/>
          <w:sz w:val="20"/>
          <w:szCs w:val="20"/>
        </w:rPr>
        <w:t>1) through (3) of this section.</w:t>
      </w:r>
    </w:p>
    <w:p w:rsidR="00010217" w:rsidRDefault="00010217" w:rsidP="00B2262A">
      <w:pPr>
        <w:ind w:firstLine="480"/>
        <w:rPr>
          <w:rFonts w:ascii="Times New Roman" w:hAnsi="Times New Roman" w:cs="Times New Roman"/>
          <w:sz w:val="24"/>
          <w:szCs w:val="24"/>
        </w:rPr>
      </w:pPr>
      <w:r>
        <w:rPr>
          <w:rFonts w:ascii="Arial" w:hAnsi="Arial" w:cs="Arial"/>
          <w:sz w:val="20"/>
          <w:szCs w:val="20"/>
        </w:rPr>
        <w:t>(3) You must submit all reports required by Table 9 of this subpart electronically to the EPA via the CEDRI. (CEDRI can be accessed through the EPA's CDX.) You must use the appropriate electronic report in CEDRI for this subpart. Instead of using the electronic report in CEDRI for this subpart, you may submit an alternate electronic file consistent with the XML schema listed on the CEDRI Web site (</w:t>
      </w:r>
      <w:r>
        <w:rPr>
          <w:rFonts w:ascii="Arial" w:hAnsi="Arial" w:cs="Arial"/>
          <w:i/>
          <w:iCs/>
          <w:sz w:val="20"/>
          <w:szCs w:val="20"/>
        </w:rPr>
        <w:t>http://www.epa.gov/ttn/chief/cedri/index.html</w:t>
      </w:r>
      <w:r>
        <w:rPr>
          <w:rFonts w:ascii="Arial" w:hAnsi="Arial" w:cs="Arial"/>
          <w:sz w:val="20"/>
          <w:szCs w:val="20"/>
        </w:rPr>
        <w:t xml:space="preserve">), once the XML schema is available. If the reporting form specific to this subpart is not available in CEDRI at the time that the report is due, you must submit the </w:t>
      </w:r>
      <w:r>
        <w:rPr>
          <w:rFonts w:ascii="Arial" w:hAnsi="Arial" w:cs="Arial"/>
          <w:sz w:val="20"/>
          <w:szCs w:val="20"/>
        </w:rPr>
        <w:lastRenderedPageBreak/>
        <w:t>report to the Administrator at the appropriate address listed in §63.13. You must begin submitting reports via CEDRI no later than 90 days after the form becomes available in CEDRI.</w:t>
      </w:r>
    </w:p>
    <w:p w:rsidR="00010217" w:rsidRDefault="00010217" w:rsidP="00010217">
      <w:pPr>
        <w:pStyle w:val="Heading2"/>
        <w:jc w:val="left"/>
        <w:rPr>
          <w:rFonts w:ascii="Arial" w:hAnsi="Arial" w:cs="Arial"/>
        </w:rPr>
      </w:pPr>
      <w:r>
        <w:rPr>
          <w:rFonts w:ascii="Arial" w:hAnsi="Arial" w:cs="Arial"/>
        </w:rPr>
        <w:t>§63.7555   </w:t>
      </w:r>
      <w:proofErr w:type="gramStart"/>
      <w:r>
        <w:rPr>
          <w:rFonts w:ascii="Arial" w:hAnsi="Arial" w:cs="Arial"/>
        </w:rPr>
        <w:t>What</w:t>
      </w:r>
      <w:proofErr w:type="gramEnd"/>
      <w:r>
        <w:rPr>
          <w:rFonts w:ascii="Arial" w:hAnsi="Arial" w:cs="Arial"/>
        </w:rPr>
        <w:t xml:space="preserve"> records must I keep?</w:t>
      </w:r>
    </w:p>
    <w:p w:rsidR="00010217" w:rsidRDefault="00010217" w:rsidP="00010217">
      <w:pPr>
        <w:pStyle w:val="NormalWeb"/>
        <w:rPr>
          <w:rFonts w:ascii="Arial" w:hAnsi="Arial" w:cs="Arial"/>
          <w:sz w:val="20"/>
          <w:szCs w:val="20"/>
        </w:rPr>
      </w:pPr>
      <w:r>
        <w:rPr>
          <w:rFonts w:ascii="Arial" w:hAnsi="Arial" w:cs="Arial"/>
          <w:sz w:val="20"/>
          <w:szCs w:val="20"/>
        </w:rPr>
        <w:t>(a) You must keep records according to paragraphs (a</w:t>
      </w:r>
      <w:proofErr w:type="gramStart"/>
      <w:r>
        <w:rPr>
          <w:rFonts w:ascii="Arial" w:hAnsi="Arial" w:cs="Arial"/>
          <w:sz w:val="20"/>
          <w:szCs w:val="20"/>
        </w:rPr>
        <w:t>)(</w:t>
      </w:r>
      <w:proofErr w:type="gramEnd"/>
      <w:r>
        <w:rPr>
          <w:rFonts w:ascii="Arial" w:hAnsi="Arial" w:cs="Arial"/>
          <w:sz w:val="20"/>
          <w:szCs w:val="20"/>
        </w:rPr>
        <w:t>1) and (2) of this section.</w:t>
      </w:r>
    </w:p>
    <w:p w:rsidR="00010217" w:rsidRDefault="00010217" w:rsidP="00010217">
      <w:pPr>
        <w:pStyle w:val="NormalWeb"/>
        <w:rPr>
          <w:rFonts w:ascii="Arial" w:hAnsi="Arial" w:cs="Arial"/>
          <w:sz w:val="20"/>
          <w:szCs w:val="20"/>
        </w:rPr>
      </w:pPr>
      <w:r>
        <w:rPr>
          <w:rFonts w:ascii="Arial" w:hAnsi="Arial" w:cs="Arial"/>
          <w:sz w:val="20"/>
          <w:szCs w:val="20"/>
        </w:rPr>
        <w:t>(1) A copy of each notification and report that you submitted to comply with this subpart, including all documentation supporting any Initial Notification or Notification of Compliance Status or semiannual compliance report that you submitted, according to the requirements in §63.10(b)(2)(xiv).</w:t>
      </w:r>
    </w:p>
    <w:p w:rsidR="00010217" w:rsidRDefault="00010217" w:rsidP="00010217">
      <w:pPr>
        <w:pStyle w:val="NormalWeb"/>
        <w:rPr>
          <w:rFonts w:ascii="Arial" w:hAnsi="Arial" w:cs="Arial"/>
          <w:sz w:val="20"/>
          <w:szCs w:val="20"/>
        </w:rPr>
      </w:pPr>
      <w:r>
        <w:rPr>
          <w:rFonts w:ascii="Arial" w:hAnsi="Arial" w:cs="Arial"/>
          <w:sz w:val="20"/>
          <w:szCs w:val="20"/>
        </w:rPr>
        <w:t>(2) Records of performance tests, fuel analyses, or other compliance demonstrations and performance evaluations as required in §63.10(b</w:t>
      </w:r>
      <w:proofErr w:type="gramStart"/>
      <w:r>
        <w:rPr>
          <w:rFonts w:ascii="Arial" w:hAnsi="Arial" w:cs="Arial"/>
          <w:sz w:val="20"/>
          <w:szCs w:val="20"/>
        </w:rPr>
        <w:t>)(</w:t>
      </w:r>
      <w:proofErr w:type="gramEnd"/>
      <w:r>
        <w:rPr>
          <w:rFonts w:ascii="Arial" w:hAnsi="Arial" w:cs="Arial"/>
          <w:sz w:val="20"/>
          <w:szCs w:val="20"/>
        </w:rPr>
        <w:t>2)(viii).</w:t>
      </w:r>
    </w:p>
    <w:p w:rsidR="00010217" w:rsidRDefault="00010217" w:rsidP="00010217">
      <w:pPr>
        <w:ind w:firstLine="480"/>
        <w:rPr>
          <w:rFonts w:ascii="Times New Roman" w:hAnsi="Times New Roman" w:cs="Times New Roman"/>
          <w:sz w:val="24"/>
          <w:szCs w:val="24"/>
        </w:rPr>
      </w:pPr>
      <w:r>
        <w:rPr>
          <w:rFonts w:ascii="Arial" w:hAnsi="Arial" w:cs="Arial"/>
          <w:sz w:val="20"/>
          <w:szCs w:val="20"/>
        </w:rPr>
        <w:t>(g) If you elected to demonstrate that the unit meets the specification for mercury for the unit designed to burn gas 1 subcategory, you must maintain records of the calculations and results of the fuel specification for mercury in Table 6.</w:t>
      </w:r>
    </w:p>
    <w:p w:rsidR="00010217" w:rsidRDefault="00010217" w:rsidP="00010217">
      <w:pPr>
        <w:pStyle w:val="Heading2"/>
        <w:jc w:val="left"/>
        <w:rPr>
          <w:rFonts w:ascii="Arial" w:hAnsi="Arial" w:cs="Arial"/>
        </w:rPr>
      </w:pPr>
      <w:r>
        <w:rPr>
          <w:rFonts w:ascii="Arial" w:hAnsi="Arial" w:cs="Arial"/>
        </w:rPr>
        <w:t>§63.7560   </w:t>
      </w:r>
      <w:proofErr w:type="gramStart"/>
      <w:r>
        <w:rPr>
          <w:rFonts w:ascii="Arial" w:hAnsi="Arial" w:cs="Arial"/>
        </w:rPr>
        <w:t>In</w:t>
      </w:r>
      <w:proofErr w:type="gramEnd"/>
      <w:r>
        <w:rPr>
          <w:rFonts w:ascii="Arial" w:hAnsi="Arial" w:cs="Arial"/>
        </w:rPr>
        <w:t xml:space="preserve"> what form and how long must I keep my records?</w:t>
      </w:r>
    </w:p>
    <w:p w:rsidR="00010217" w:rsidRDefault="00010217" w:rsidP="00010217">
      <w:pPr>
        <w:pStyle w:val="NormalWeb"/>
        <w:rPr>
          <w:rFonts w:ascii="Arial" w:hAnsi="Arial" w:cs="Arial"/>
          <w:sz w:val="20"/>
          <w:szCs w:val="20"/>
        </w:rPr>
      </w:pPr>
      <w:r>
        <w:rPr>
          <w:rFonts w:ascii="Arial" w:hAnsi="Arial" w:cs="Arial"/>
          <w:sz w:val="20"/>
          <w:szCs w:val="20"/>
        </w:rPr>
        <w:t>(a) Your records must be in a form suitable and readily available for expeditious review, according to §63.10(b</w:t>
      </w:r>
      <w:proofErr w:type="gramStart"/>
      <w:r>
        <w:rPr>
          <w:rFonts w:ascii="Arial" w:hAnsi="Arial" w:cs="Arial"/>
          <w:sz w:val="20"/>
          <w:szCs w:val="20"/>
        </w:rPr>
        <w:t>)(</w:t>
      </w:r>
      <w:proofErr w:type="gramEnd"/>
      <w:r>
        <w:rPr>
          <w:rFonts w:ascii="Arial" w:hAnsi="Arial" w:cs="Arial"/>
          <w:sz w:val="20"/>
          <w:szCs w:val="20"/>
        </w:rPr>
        <w:t>1).</w:t>
      </w:r>
    </w:p>
    <w:p w:rsidR="00010217" w:rsidRDefault="00010217" w:rsidP="00010217">
      <w:pPr>
        <w:pStyle w:val="NormalWeb"/>
        <w:rPr>
          <w:rFonts w:ascii="Arial" w:hAnsi="Arial" w:cs="Arial"/>
          <w:sz w:val="20"/>
          <w:szCs w:val="20"/>
        </w:rPr>
      </w:pPr>
      <w:r>
        <w:rPr>
          <w:rFonts w:ascii="Arial" w:hAnsi="Arial" w:cs="Arial"/>
          <w:sz w:val="20"/>
          <w:szCs w:val="20"/>
        </w:rPr>
        <w:t>(b) As specified in §63.10(b)(1), you must keep each record for 5 years following the date of each occurrence, measurement, maintenance, corrective action, report, or record.</w:t>
      </w:r>
    </w:p>
    <w:p w:rsidR="00010217" w:rsidRDefault="00010217" w:rsidP="00010217">
      <w:pPr>
        <w:pStyle w:val="NormalWeb"/>
        <w:rPr>
          <w:rFonts w:ascii="Arial" w:hAnsi="Arial" w:cs="Arial"/>
          <w:sz w:val="20"/>
          <w:szCs w:val="20"/>
        </w:rPr>
      </w:pPr>
      <w:r>
        <w:rPr>
          <w:rFonts w:ascii="Arial" w:hAnsi="Arial" w:cs="Arial"/>
          <w:sz w:val="20"/>
          <w:szCs w:val="20"/>
        </w:rPr>
        <w:t>(c) You must keep each record on site, or they must be accessible from on site (for example, through a computer network), for at least 2 years after the date of each occurrence, measurement, maintenance, corrective action, report, or record, according to §63.10(b)(1). You can keep the records off site for the remaining 3 years.</w:t>
      </w:r>
    </w:p>
    <w:p w:rsidR="00010217" w:rsidRDefault="00010217" w:rsidP="00010217">
      <w:pPr>
        <w:pStyle w:val="Heading2"/>
        <w:jc w:val="left"/>
        <w:rPr>
          <w:rFonts w:ascii="Arial" w:hAnsi="Arial" w:cs="Arial"/>
        </w:rPr>
      </w:pPr>
      <w:r>
        <w:rPr>
          <w:rFonts w:ascii="Arial" w:hAnsi="Arial" w:cs="Arial"/>
        </w:rPr>
        <w:t>§63.7565   </w:t>
      </w:r>
      <w:proofErr w:type="gramStart"/>
      <w:r>
        <w:rPr>
          <w:rFonts w:ascii="Arial" w:hAnsi="Arial" w:cs="Arial"/>
        </w:rPr>
        <w:t>What</w:t>
      </w:r>
      <w:proofErr w:type="gramEnd"/>
      <w:r>
        <w:rPr>
          <w:rFonts w:ascii="Arial" w:hAnsi="Arial" w:cs="Arial"/>
        </w:rPr>
        <w:t xml:space="preserve"> parts of the General Provisions apply to me?</w:t>
      </w:r>
    </w:p>
    <w:p w:rsidR="00010217" w:rsidRDefault="00010217" w:rsidP="00010217">
      <w:pPr>
        <w:pStyle w:val="NormalWeb"/>
        <w:rPr>
          <w:rFonts w:ascii="Arial" w:hAnsi="Arial" w:cs="Arial"/>
          <w:sz w:val="20"/>
          <w:szCs w:val="20"/>
        </w:rPr>
      </w:pPr>
      <w:r>
        <w:rPr>
          <w:rFonts w:ascii="Arial" w:hAnsi="Arial" w:cs="Arial"/>
          <w:sz w:val="20"/>
          <w:szCs w:val="20"/>
        </w:rPr>
        <w:t>Table 10 to this subpart shows which parts of the General Provisions in §§63.1 through 63.15 apply to you.</w:t>
      </w:r>
    </w:p>
    <w:p w:rsidR="00C037E0" w:rsidRDefault="00C037E0" w:rsidP="00C037E0">
      <w:pPr>
        <w:pStyle w:val="Heading2"/>
        <w:jc w:val="left"/>
        <w:rPr>
          <w:rFonts w:ascii="Arial" w:hAnsi="Arial" w:cs="Arial"/>
        </w:rPr>
      </w:pPr>
      <w:r>
        <w:rPr>
          <w:rFonts w:ascii="Arial" w:hAnsi="Arial" w:cs="Arial"/>
        </w:rPr>
        <w:t>Table 3 to Subpart DDDDD of Part 63—Work Practice Standards</w:t>
      </w:r>
    </w:p>
    <w:p w:rsidR="00C037E0" w:rsidRDefault="00C037E0" w:rsidP="00C037E0">
      <w:pPr>
        <w:pStyle w:val="NormalWeb"/>
        <w:jc w:val="center"/>
        <w:rPr>
          <w:rFonts w:ascii="Arial" w:hAnsi="Arial" w:cs="Arial"/>
          <w:sz w:val="20"/>
          <w:szCs w:val="20"/>
        </w:rPr>
      </w:pPr>
      <w:r>
        <w:rPr>
          <w:rFonts w:ascii="Arial" w:hAnsi="Arial" w:cs="Arial"/>
          <w:sz w:val="20"/>
          <w:szCs w:val="20"/>
        </w:rPr>
        <w:t>As stated in §63.7500, you must comply with the following applicable work practice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872"/>
        <w:gridCol w:w="6512"/>
      </w:tblGrid>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037E0" w:rsidRDefault="00C037E0">
            <w:pPr>
              <w:jc w:val="center"/>
              <w:rPr>
                <w:rFonts w:ascii="Arial" w:hAnsi="Arial" w:cs="Arial"/>
                <w:b/>
                <w:bCs/>
                <w:sz w:val="20"/>
                <w:szCs w:val="20"/>
              </w:rPr>
            </w:pPr>
            <w:r>
              <w:rPr>
                <w:rFonts w:ascii="Arial" w:hAnsi="Arial" w:cs="Arial"/>
                <w:b/>
                <w:bCs/>
                <w:sz w:val="20"/>
                <w:szCs w:val="20"/>
              </w:rPr>
              <w:t xml:space="preserve">If your unit </w:t>
            </w:r>
            <w:proofErr w:type="gramStart"/>
            <w:r>
              <w:rPr>
                <w:rFonts w:ascii="Arial" w:hAnsi="Arial" w:cs="Arial"/>
                <w:b/>
                <w:bCs/>
                <w:sz w:val="20"/>
                <w:szCs w:val="20"/>
              </w:rPr>
              <w:t>is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037E0" w:rsidRDefault="00C037E0">
            <w:pPr>
              <w:jc w:val="center"/>
              <w:rPr>
                <w:rFonts w:ascii="Arial" w:hAnsi="Arial" w:cs="Arial"/>
                <w:b/>
                <w:bCs/>
                <w:sz w:val="20"/>
                <w:szCs w:val="20"/>
              </w:rPr>
            </w:pPr>
            <w:r>
              <w:rPr>
                <w:rFonts w:ascii="Arial" w:hAnsi="Arial" w:cs="Arial"/>
                <w:b/>
                <w:bCs/>
                <w:sz w:val="20"/>
                <w:szCs w:val="20"/>
              </w:rPr>
              <w:t xml:space="preserve">You must meet the </w:t>
            </w:r>
            <w:proofErr w:type="gramStart"/>
            <w:r>
              <w:rPr>
                <w:rFonts w:ascii="Arial" w:hAnsi="Arial" w:cs="Arial"/>
                <w:b/>
                <w:bCs/>
                <w:sz w:val="20"/>
                <w:szCs w:val="20"/>
              </w:rPr>
              <w:t>following .</w:t>
            </w:r>
            <w:proofErr w:type="gramEnd"/>
            <w:r>
              <w:rPr>
                <w:rFonts w:ascii="Arial" w:hAnsi="Arial" w:cs="Arial"/>
                <w:b/>
                <w:bCs/>
                <w:sz w:val="20"/>
                <w:szCs w:val="20"/>
              </w:rPr>
              <w:t>  .  .</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rsidP="00950086">
            <w:pPr>
              <w:rPr>
                <w:rFonts w:ascii="Arial" w:hAnsi="Arial" w:cs="Arial"/>
                <w:sz w:val="20"/>
                <w:szCs w:val="20"/>
              </w:rPr>
            </w:pPr>
            <w:r>
              <w:rPr>
                <w:rFonts w:ascii="Arial" w:hAnsi="Arial" w:cs="Arial"/>
                <w:sz w:val="20"/>
                <w:szCs w:val="20"/>
              </w:rPr>
              <w:t>3. A new or existing process heater without a continuous oxygen trim system and with heat input capacity of 10 million Btu per hour or greater</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rsidP="00950086">
            <w:pPr>
              <w:rPr>
                <w:rFonts w:ascii="Arial" w:hAnsi="Arial" w:cs="Arial"/>
                <w:sz w:val="20"/>
                <w:szCs w:val="20"/>
              </w:rPr>
            </w:pPr>
            <w:r>
              <w:rPr>
                <w:rFonts w:ascii="Arial" w:hAnsi="Arial" w:cs="Arial"/>
                <w:sz w:val="20"/>
                <w:szCs w:val="20"/>
              </w:rPr>
              <w:t>Conduct a tune-up of the process heater annually as specified in §63.7540. Units in either the Gas 1 or Metal Process Furnace subcategories will conduct this tune-up as a work practice for all regulated emissions under this subpart. Units in all other subcategories will conduct this tune-up as a work practice for dioxins/furans.</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rsidP="00950086">
            <w:pPr>
              <w:rPr>
                <w:rFonts w:ascii="Arial" w:hAnsi="Arial" w:cs="Arial"/>
                <w:sz w:val="20"/>
                <w:szCs w:val="20"/>
              </w:rPr>
            </w:pPr>
            <w:r>
              <w:rPr>
                <w:rFonts w:ascii="Arial" w:hAnsi="Arial" w:cs="Arial"/>
                <w:sz w:val="20"/>
                <w:szCs w:val="20"/>
              </w:rPr>
              <w:t xml:space="preserve">4. An existing process heater located at a major source </w:t>
            </w:r>
            <w:r>
              <w:rPr>
                <w:rFonts w:ascii="Arial" w:hAnsi="Arial" w:cs="Arial"/>
                <w:sz w:val="20"/>
                <w:szCs w:val="20"/>
              </w:rPr>
              <w:lastRenderedPageBreak/>
              <w:t>facility, not including limited use units</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lastRenderedPageBreak/>
              <w:t xml:space="preserve">Must have a one-time energy assessment performed by a qualified energy assessor. An energy assessment completed on or after January </w:t>
            </w:r>
            <w:r>
              <w:rPr>
                <w:rFonts w:ascii="Arial" w:hAnsi="Arial" w:cs="Arial"/>
                <w:sz w:val="20"/>
                <w:szCs w:val="20"/>
              </w:rPr>
              <w:lastRenderedPageBreak/>
              <w:t>1, 2008, that meets or is amended to meet the energy assessment requirements in this table, satisfies the energy assessment requirement. A facility that operated under an energy management program developed according to the ENERGY STAR guidelines for energy management or compatible with ISO 50001 for at least one year between January 1, 2008 and the compliance date specified in §63.7495 that includes the affected units also satisfies the energy assessment requirement. The energy assessment must include the following with extent of the evaluation for items a. to e. appropriate for the on-site technical hours listed in §63.7575:</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rsidP="00950086">
            <w:pPr>
              <w:rPr>
                <w:rFonts w:ascii="Arial" w:hAnsi="Arial" w:cs="Arial"/>
                <w:sz w:val="20"/>
                <w:szCs w:val="20"/>
              </w:rPr>
            </w:pPr>
            <w:r>
              <w:rPr>
                <w:rFonts w:ascii="Arial" w:hAnsi="Arial" w:cs="Arial"/>
                <w:sz w:val="20"/>
                <w:szCs w:val="20"/>
              </w:rPr>
              <w:t>a. A visual inspection of the process heater system.</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rsidP="00950086">
            <w:pPr>
              <w:rPr>
                <w:rFonts w:ascii="Arial" w:hAnsi="Arial" w:cs="Arial"/>
                <w:sz w:val="20"/>
                <w:szCs w:val="20"/>
              </w:rPr>
            </w:pPr>
            <w:r>
              <w:rPr>
                <w:rFonts w:ascii="Arial" w:hAnsi="Arial" w:cs="Arial"/>
                <w:sz w:val="20"/>
                <w:szCs w:val="20"/>
              </w:rPr>
              <w:t>b. An evaluation of operating characteristics of the process heater systems, specifications of energy using systems, operating and maintenance procedures, and unusual operating constraints.</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rsidP="00950086">
            <w:pPr>
              <w:rPr>
                <w:rFonts w:ascii="Arial" w:hAnsi="Arial" w:cs="Arial"/>
                <w:sz w:val="20"/>
                <w:szCs w:val="20"/>
              </w:rPr>
            </w:pPr>
            <w:r>
              <w:rPr>
                <w:rFonts w:ascii="Arial" w:hAnsi="Arial" w:cs="Arial"/>
                <w:sz w:val="20"/>
                <w:szCs w:val="20"/>
              </w:rPr>
              <w:t>c. An inventory of major energy use systems consuming energy from affected process heaters and which are under the control of the process heater owner/operator.</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d. A review of available architectural and engineering plans, facility operation and maintenance procedures and logs, and fuel usage.</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e. A review of the facility's energy management program and provide recommendations for improvements consistent with the definition of energy management program, if identified.</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f. A list of cost-effective energy conservation measures that are within the facility's control.</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g. A list of the energy savings potential of the energy conservation measures identified.</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h. A comprehensive report detailing the ways to improve efficiency, the cost of specific improvements, benefits, and the time frame for recouping those investments.</w:t>
            </w:r>
          </w:p>
        </w:tc>
      </w:tr>
    </w:tbl>
    <w:p w:rsidR="00C037E0" w:rsidRDefault="00C037E0" w:rsidP="00C037E0">
      <w:pPr>
        <w:pStyle w:val="Heading2"/>
        <w:jc w:val="left"/>
        <w:rPr>
          <w:rFonts w:ascii="Arial" w:hAnsi="Arial" w:cs="Arial"/>
        </w:rPr>
      </w:pPr>
      <w:r>
        <w:rPr>
          <w:rFonts w:ascii="Arial" w:hAnsi="Arial" w:cs="Arial"/>
        </w:rPr>
        <w:t>Table 6 to Subpart DDDDD of Part 63—Fuel Analysis Requirements</w:t>
      </w:r>
    </w:p>
    <w:p w:rsidR="00C037E0" w:rsidRDefault="00C037E0" w:rsidP="00C037E0">
      <w:pPr>
        <w:pStyle w:val="NormalWeb"/>
        <w:rPr>
          <w:rFonts w:ascii="Arial" w:hAnsi="Arial" w:cs="Arial"/>
          <w:sz w:val="20"/>
          <w:szCs w:val="20"/>
        </w:rPr>
      </w:pPr>
      <w:r>
        <w:rPr>
          <w:rFonts w:ascii="Arial" w:hAnsi="Arial" w:cs="Arial"/>
          <w:sz w:val="20"/>
          <w:szCs w:val="20"/>
        </w:rPr>
        <w:t>As stated in §63.7521, you must comply with the following requirements for fuel analysis testing for existing, new or reconstructed affected sources. However, equivalent methods (as defined in §63.7575) may be used in lieu of the prescribed methods at the discretion of the source owner or operator: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977"/>
        <w:gridCol w:w="2984"/>
        <w:gridCol w:w="4423"/>
      </w:tblGrid>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037E0" w:rsidRDefault="00C037E0">
            <w:pPr>
              <w:jc w:val="center"/>
              <w:rPr>
                <w:rFonts w:ascii="Arial" w:hAnsi="Arial" w:cs="Arial"/>
                <w:b/>
                <w:bCs/>
                <w:sz w:val="20"/>
                <w:szCs w:val="20"/>
              </w:rPr>
            </w:pPr>
            <w:r>
              <w:rPr>
                <w:rFonts w:ascii="Arial" w:hAnsi="Arial" w:cs="Arial"/>
                <w:b/>
                <w:bCs/>
                <w:sz w:val="20"/>
                <w:szCs w:val="20"/>
              </w:rPr>
              <w:lastRenderedPageBreak/>
              <w:t xml:space="preserve">To conduct a fuel analysis for the following </w:t>
            </w:r>
            <w:proofErr w:type="gramStart"/>
            <w:r>
              <w:rPr>
                <w:rFonts w:ascii="Arial" w:hAnsi="Arial" w:cs="Arial"/>
                <w:b/>
                <w:bCs/>
                <w:sz w:val="20"/>
                <w:szCs w:val="20"/>
              </w:rPr>
              <w:t>pollutant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037E0" w:rsidRDefault="00C037E0">
            <w:pPr>
              <w:jc w:val="center"/>
              <w:rPr>
                <w:rFonts w:ascii="Arial" w:hAnsi="Arial" w:cs="Arial"/>
                <w:b/>
                <w:bCs/>
                <w:sz w:val="20"/>
                <w:szCs w:val="20"/>
              </w:rPr>
            </w:pPr>
            <w:r>
              <w:rPr>
                <w:rFonts w:ascii="Arial" w:hAnsi="Arial" w:cs="Arial"/>
                <w:b/>
                <w:bCs/>
                <w:sz w:val="20"/>
                <w:szCs w:val="20"/>
              </w:rPr>
              <w:t xml:space="preserve">You </w:t>
            </w:r>
            <w:proofErr w:type="gramStart"/>
            <w:r>
              <w:rPr>
                <w:rFonts w:ascii="Arial" w:hAnsi="Arial" w:cs="Arial"/>
                <w:b/>
                <w:bCs/>
                <w:sz w:val="20"/>
                <w:szCs w:val="20"/>
              </w:rPr>
              <w:t>must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037E0" w:rsidRDefault="00C037E0">
            <w:pPr>
              <w:jc w:val="center"/>
              <w:rPr>
                <w:rFonts w:ascii="Arial" w:hAnsi="Arial" w:cs="Arial"/>
                <w:b/>
                <w:bCs/>
                <w:sz w:val="20"/>
                <w:szCs w:val="20"/>
              </w:rPr>
            </w:pPr>
            <w:proofErr w:type="gramStart"/>
            <w:r>
              <w:rPr>
                <w:rFonts w:ascii="Arial" w:hAnsi="Arial" w:cs="Arial"/>
                <w:b/>
                <w:bCs/>
                <w:sz w:val="20"/>
                <w:szCs w:val="20"/>
              </w:rPr>
              <w:t>Using .</w:t>
            </w:r>
            <w:proofErr w:type="gramEnd"/>
            <w:r>
              <w:rPr>
                <w:rFonts w:ascii="Arial" w:hAnsi="Arial" w:cs="Arial"/>
                <w:b/>
                <w:bCs/>
                <w:sz w:val="20"/>
                <w:szCs w:val="20"/>
              </w:rPr>
              <w:t>  .  .</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3. Mercury Fuel Specification for other gas 1 fuels</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a. Measure mercury concentration in the fuel sample and convert to units of micrograms per cubic meter, or</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Method 30B (M30B) at 40 CFR part 60, appendix A-8 of this chapter or ASTM D5954,</w:t>
            </w:r>
            <w:r>
              <w:rPr>
                <w:rFonts w:ascii="Arial" w:hAnsi="Arial" w:cs="Arial"/>
                <w:sz w:val="20"/>
                <w:szCs w:val="20"/>
                <w:vertAlign w:val="superscript"/>
              </w:rPr>
              <w:t>a</w:t>
            </w:r>
            <w:r>
              <w:rPr>
                <w:rFonts w:ascii="Arial" w:hAnsi="Arial" w:cs="Arial"/>
                <w:sz w:val="20"/>
                <w:szCs w:val="20"/>
              </w:rPr>
              <w:t xml:space="preserve"> ASTM D6350,</w:t>
            </w:r>
            <w:r>
              <w:rPr>
                <w:rFonts w:ascii="Arial" w:hAnsi="Arial" w:cs="Arial"/>
                <w:sz w:val="20"/>
                <w:szCs w:val="20"/>
                <w:vertAlign w:val="superscript"/>
              </w:rPr>
              <w:t>a</w:t>
            </w:r>
            <w:r>
              <w:rPr>
                <w:rFonts w:ascii="Arial" w:hAnsi="Arial" w:cs="Arial"/>
                <w:sz w:val="20"/>
                <w:szCs w:val="20"/>
              </w:rPr>
              <w:t xml:space="preserve"> ISO 6978-1:2003(E),</w:t>
            </w:r>
            <w:r>
              <w:rPr>
                <w:rFonts w:ascii="Arial" w:hAnsi="Arial" w:cs="Arial"/>
                <w:sz w:val="20"/>
                <w:szCs w:val="20"/>
                <w:vertAlign w:val="superscript"/>
              </w:rPr>
              <w:t>a</w:t>
            </w:r>
            <w:r>
              <w:rPr>
                <w:rFonts w:ascii="Arial" w:hAnsi="Arial" w:cs="Arial"/>
                <w:sz w:val="20"/>
                <w:szCs w:val="20"/>
              </w:rPr>
              <w:t xml:space="preserve"> or ISO 6978-2:2003(E),</w:t>
            </w:r>
            <w:r>
              <w:rPr>
                <w:rFonts w:ascii="Arial" w:hAnsi="Arial" w:cs="Arial"/>
                <w:sz w:val="20"/>
                <w:szCs w:val="20"/>
                <w:vertAlign w:val="superscript"/>
              </w:rPr>
              <w:t>a</w:t>
            </w:r>
            <w:r>
              <w:rPr>
                <w:rFonts w:ascii="Arial" w:hAnsi="Arial" w:cs="Arial"/>
                <w:sz w:val="20"/>
                <w:szCs w:val="20"/>
              </w:rPr>
              <w:t xml:space="preserve"> or EPA-1631</w:t>
            </w:r>
            <w:r>
              <w:rPr>
                <w:rFonts w:ascii="Arial" w:hAnsi="Arial" w:cs="Arial"/>
                <w:sz w:val="20"/>
                <w:szCs w:val="20"/>
                <w:vertAlign w:val="superscript"/>
              </w:rPr>
              <w:t>a</w:t>
            </w:r>
            <w:r>
              <w:rPr>
                <w:rFonts w:ascii="Arial" w:hAnsi="Arial" w:cs="Arial"/>
                <w:sz w:val="20"/>
                <w:szCs w:val="20"/>
              </w:rPr>
              <w:t xml:space="preserve"> or equivalent.</w:t>
            </w:r>
          </w:p>
        </w:tc>
      </w:tr>
      <w:tr w:rsidR="00C037E0" w:rsidTr="00C037E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rsidP="00950086">
            <w:pPr>
              <w:rPr>
                <w:rFonts w:ascii="Arial" w:hAnsi="Arial" w:cs="Arial"/>
                <w:sz w:val="20"/>
                <w:szCs w:val="20"/>
              </w:rPr>
            </w:pPr>
            <w:r>
              <w:rPr>
                <w:rFonts w:ascii="Arial" w:hAnsi="Arial" w:cs="Arial"/>
                <w:sz w:val="20"/>
                <w:szCs w:val="20"/>
              </w:rPr>
              <w:t>b. Measure mercury concentration in the exhaust gas when firing only the other gas 1 fuel is fired in the process heater</w:t>
            </w:r>
          </w:p>
        </w:tc>
        <w:tc>
          <w:tcPr>
            <w:tcW w:w="0" w:type="auto"/>
            <w:tcBorders>
              <w:top w:val="single" w:sz="6" w:space="0" w:color="000000"/>
              <w:left w:val="single" w:sz="6" w:space="0" w:color="000000"/>
              <w:bottom w:val="single" w:sz="6" w:space="0" w:color="000000"/>
              <w:right w:val="single" w:sz="6" w:space="0" w:color="000000"/>
            </w:tcBorders>
            <w:hideMark/>
          </w:tcPr>
          <w:p w:rsidR="00C037E0" w:rsidRDefault="00C037E0">
            <w:pPr>
              <w:rPr>
                <w:rFonts w:ascii="Arial" w:hAnsi="Arial" w:cs="Arial"/>
                <w:sz w:val="20"/>
                <w:szCs w:val="20"/>
              </w:rPr>
            </w:pPr>
            <w:r>
              <w:rPr>
                <w:rFonts w:ascii="Arial" w:hAnsi="Arial" w:cs="Arial"/>
                <w:sz w:val="20"/>
                <w:szCs w:val="20"/>
              </w:rPr>
              <w:t>Method 29, 30A, or 30B (M29, M30A, or M30B) at 40 CFR part 60, appendix A-8 of this chapter or Method 101A or Method 102 at 40 CFR part 61, appendix B of this chapter, or ASTM Method D6784</w:t>
            </w:r>
            <w:r>
              <w:rPr>
                <w:rFonts w:ascii="Arial" w:hAnsi="Arial" w:cs="Arial"/>
                <w:sz w:val="20"/>
                <w:szCs w:val="20"/>
                <w:vertAlign w:val="superscript"/>
              </w:rPr>
              <w:t>a</w:t>
            </w:r>
            <w:r>
              <w:rPr>
                <w:rFonts w:ascii="Arial" w:hAnsi="Arial" w:cs="Arial"/>
                <w:sz w:val="20"/>
                <w:szCs w:val="20"/>
              </w:rPr>
              <w:t xml:space="preserve"> or equivalent.</w:t>
            </w:r>
          </w:p>
        </w:tc>
      </w:tr>
    </w:tbl>
    <w:p w:rsidR="00C037E0" w:rsidRDefault="00C037E0" w:rsidP="00C037E0">
      <w:pPr>
        <w:pStyle w:val="gpotblnote"/>
        <w:rPr>
          <w:rFonts w:ascii="Arial" w:hAnsi="Arial" w:cs="Arial"/>
          <w:sz w:val="20"/>
          <w:szCs w:val="20"/>
        </w:rPr>
      </w:pPr>
      <w:proofErr w:type="spellStart"/>
      <w:proofErr w:type="gramStart"/>
      <w:r>
        <w:rPr>
          <w:rFonts w:ascii="Arial" w:hAnsi="Arial" w:cs="Arial"/>
          <w:sz w:val="20"/>
          <w:szCs w:val="20"/>
          <w:vertAlign w:val="superscript"/>
        </w:rPr>
        <w:t>a</w:t>
      </w:r>
      <w:r>
        <w:rPr>
          <w:rFonts w:ascii="Arial" w:hAnsi="Arial" w:cs="Arial"/>
          <w:sz w:val="20"/>
          <w:szCs w:val="20"/>
        </w:rPr>
        <w:t>Incorporated</w:t>
      </w:r>
      <w:proofErr w:type="spellEnd"/>
      <w:proofErr w:type="gramEnd"/>
      <w:r>
        <w:rPr>
          <w:rFonts w:ascii="Arial" w:hAnsi="Arial" w:cs="Arial"/>
          <w:sz w:val="20"/>
          <w:szCs w:val="20"/>
        </w:rPr>
        <w:t xml:space="preserve"> by reference, see §63.14.</w:t>
      </w:r>
    </w:p>
    <w:p w:rsidR="005241DA" w:rsidRDefault="005241DA" w:rsidP="005241DA">
      <w:pPr>
        <w:pStyle w:val="Heading2"/>
        <w:jc w:val="left"/>
        <w:rPr>
          <w:rFonts w:ascii="Arial" w:hAnsi="Arial" w:cs="Arial"/>
        </w:rPr>
      </w:pPr>
      <w:r>
        <w:rPr>
          <w:rFonts w:ascii="Arial" w:hAnsi="Arial" w:cs="Arial"/>
        </w:rPr>
        <w:t>Table 9 to Subpart DDDDD of Part 63—Reporting Requirements</w:t>
      </w:r>
    </w:p>
    <w:p w:rsidR="005241DA" w:rsidRDefault="005241DA" w:rsidP="005241DA">
      <w:pPr>
        <w:pStyle w:val="NormalWeb"/>
        <w:rPr>
          <w:rFonts w:ascii="Arial" w:hAnsi="Arial" w:cs="Arial"/>
          <w:sz w:val="20"/>
          <w:szCs w:val="20"/>
        </w:rPr>
      </w:pPr>
      <w:r>
        <w:rPr>
          <w:rFonts w:ascii="Arial" w:hAnsi="Arial" w:cs="Arial"/>
          <w:sz w:val="20"/>
          <w:szCs w:val="20"/>
        </w:rPr>
        <w:t>As stated in §63.7550,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544"/>
        <w:gridCol w:w="3096"/>
        <w:gridCol w:w="4744"/>
      </w:tblGrid>
      <w:tr w:rsidR="005241DA" w:rsidTr="005241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241DA" w:rsidRDefault="005241DA">
            <w:pPr>
              <w:jc w:val="center"/>
              <w:rPr>
                <w:rFonts w:ascii="Arial" w:hAnsi="Arial" w:cs="Arial"/>
                <w:b/>
                <w:bCs/>
                <w:sz w:val="20"/>
                <w:szCs w:val="20"/>
              </w:rPr>
            </w:pPr>
            <w:r>
              <w:rPr>
                <w:rFonts w:ascii="Arial" w:hAnsi="Arial" w:cs="Arial"/>
                <w:b/>
                <w:bCs/>
                <w:sz w:val="20"/>
                <w:szCs w:val="20"/>
              </w:rPr>
              <w:t>You must submit a(n)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241DA" w:rsidRDefault="005241DA">
            <w:pPr>
              <w:jc w:val="center"/>
              <w:rPr>
                <w:rFonts w:ascii="Arial" w:hAnsi="Arial" w:cs="Arial"/>
                <w:b/>
                <w:bCs/>
                <w:sz w:val="20"/>
                <w:szCs w:val="20"/>
              </w:rPr>
            </w:pPr>
            <w:r>
              <w:rPr>
                <w:rFonts w:ascii="Arial" w:hAnsi="Arial" w:cs="Arial"/>
                <w:b/>
                <w:bCs/>
                <w:sz w:val="20"/>
                <w:szCs w:val="20"/>
              </w:rPr>
              <w:t xml:space="preserve">The report must </w:t>
            </w:r>
            <w:proofErr w:type="gramStart"/>
            <w:r>
              <w:rPr>
                <w:rFonts w:ascii="Arial" w:hAnsi="Arial" w:cs="Arial"/>
                <w:b/>
                <w:bCs/>
                <w:sz w:val="20"/>
                <w:szCs w:val="20"/>
              </w:rPr>
              <w:t>contain .</w:t>
            </w:r>
            <w:proofErr w:type="gramEnd"/>
            <w:r>
              <w:rPr>
                <w:rFonts w:ascii="Arial"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241DA" w:rsidRDefault="005241DA">
            <w:pPr>
              <w:jc w:val="center"/>
              <w:rPr>
                <w:rFonts w:ascii="Arial" w:hAnsi="Arial" w:cs="Arial"/>
                <w:b/>
                <w:bCs/>
                <w:sz w:val="20"/>
                <w:szCs w:val="20"/>
              </w:rPr>
            </w:pPr>
            <w:r>
              <w:rPr>
                <w:rFonts w:ascii="Arial" w:hAnsi="Arial" w:cs="Arial"/>
                <w:b/>
                <w:bCs/>
                <w:sz w:val="20"/>
                <w:szCs w:val="20"/>
              </w:rPr>
              <w:t xml:space="preserve">You must submit the </w:t>
            </w:r>
            <w:proofErr w:type="gramStart"/>
            <w:r>
              <w:rPr>
                <w:rFonts w:ascii="Arial" w:hAnsi="Arial" w:cs="Arial"/>
                <w:b/>
                <w:bCs/>
                <w:sz w:val="20"/>
                <w:szCs w:val="20"/>
              </w:rPr>
              <w:t>report .</w:t>
            </w:r>
            <w:proofErr w:type="gramEnd"/>
            <w:r>
              <w:rPr>
                <w:rFonts w:ascii="Arial" w:hAnsi="Arial" w:cs="Arial"/>
                <w:b/>
                <w:bCs/>
                <w:sz w:val="20"/>
                <w:szCs w:val="20"/>
              </w:rPr>
              <w:t>  .  .</w:t>
            </w:r>
          </w:p>
        </w:tc>
      </w:tr>
      <w:tr w:rsidR="005241DA" w:rsidTr="005241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241DA" w:rsidRDefault="005241DA">
            <w:pPr>
              <w:rPr>
                <w:rFonts w:ascii="Arial" w:hAnsi="Arial" w:cs="Arial"/>
                <w:sz w:val="20"/>
                <w:szCs w:val="20"/>
              </w:rPr>
            </w:pPr>
            <w:r>
              <w:rPr>
                <w:rFonts w:ascii="Arial" w:hAnsi="Arial" w:cs="Arial"/>
                <w:sz w:val="20"/>
                <w:szCs w:val="20"/>
              </w:rPr>
              <w:t>1. 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5241DA" w:rsidRDefault="005241DA">
            <w:pPr>
              <w:rPr>
                <w:rFonts w:ascii="Arial" w:hAnsi="Arial" w:cs="Arial"/>
                <w:sz w:val="20"/>
                <w:szCs w:val="20"/>
              </w:rPr>
            </w:pPr>
            <w:r>
              <w:rPr>
                <w:rFonts w:ascii="Arial" w:hAnsi="Arial" w:cs="Arial"/>
                <w:sz w:val="20"/>
                <w:szCs w:val="20"/>
              </w:rPr>
              <w:t>a. Information required in §63.7550(c)(1) through (5); and</w:t>
            </w:r>
          </w:p>
        </w:tc>
        <w:tc>
          <w:tcPr>
            <w:tcW w:w="0" w:type="auto"/>
            <w:tcBorders>
              <w:top w:val="single" w:sz="6" w:space="0" w:color="000000"/>
              <w:left w:val="single" w:sz="6" w:space="0" w:color="000000"/>
              <w:bottom w:val="single" w:sz="6" w:space="0" w:color="000000"/>
              <w:right w:val="single" w:sz="6" w:space="0" w:color="000000"/>
            </w:tcBorders>
            <w:hideMark/>
          </w:tcPr>
          <w:p w:rsidR="005241DA" w:rsidRDefault="005241DA">
            <w:pPr>
              <w:rPr>
                <w:rFonts w:ascii="Arial" w:hAnsi="Arial" w:cs="Arial"/>
                <w:sz w:val="20"/>
                <w:szCs w:val="20"/>
              </w:rPr>
            </w:pPr>
            <w:r>
              <w:rPr>
                <w:rFonts w:ascii="Arial" w:hAnsi="Arial" w:cs="Arial"/>
                <w:sz w:val="20"/>
                <w:szCs w:val="20"/>
              </w:rPr>
              <w:t>Semiannually, annually, biennially, or every 5 years according to the requirements in §63.7550(b).</w:t>
            </w:r>
          </w:p>
        </w:tc>
      </w:tr>
    </w:tbl>
    <w:p w:rsidR="00010217" w:rsidRDefault="00010217" w:rsidP="00010217">
      <w:pPr>
        <w:rPr>
          <w:rFonts w:ascii="Times New Roman" w:hAnsi="Times New Roman" w:cs="Times New Roman"/>
          <w:sz w:val="24"/>
          <w:szCs w:val="24"/>
        </w:rPr>
      </w:pPr>
    </w:p>
    <w:p w:rsidR="00673435" w:rsidRPr="00224878" w:rsidRDefault="00673435" w:rsidP="00673435">
      <w:pPr>
        <w:spacing w:before="200" w:after="100" w:line="240" w:lineRule="auto"/>
        <w:outlineLvl w:val="1"/>
        <w:rPr>
          <w:rFonts w:ascii="Arial" w:eastAsia="Times New Roman" w:hAnsi="Arial" w:cs="Arial"/>
          <w:b/>
          <w:bCs/>
          <w:sz w:val="20"/>
          <w:szCs w:val="20"/>
        </w:rPr>
      </w:pPr>
      <w:r w:rsidRPr="00224878">
        <w:rPr>
          <w:rFonts w:ascii="Arial" w:eastAsia="Times New Roman" w:hAnsi="Arial" w:cs="Arial"/>
          <w:b/>
          <w:bCs/>
          <w:sz w:val="20"/>
          <w:szCs w:val="20"/>
        </w:rPr>
        <w:t>Table 10 to Subpart DDDDD of Part 63—Applicability of General Provisions to Subpart DDDDD</w:t>
      </w:r>
    </w:p>
    <w:p w:rsidR="00673435" w:rsidRPr="00224878" w:rsidRDefault="00673435" w:rsidP="00673435">
      <w:pPr>
        <w:spacing w:before="100" w:beforeAutospacing="1" w:after="100" w:afterAutospacing="1" w:line="240" w:lineRule="auto"/>
        <w:ind w:firstLine="480"/>
        <w:rPr>
          <w:rFonts w:ascii="Arial" w:eastAsia="Times New Roman" w:hAnsi="Arial" w:cs="Arial"/>
          <w:sz w:val="20"/>
          <w:szCs w:val="20"/>
        </w:rPr>
      </w:pPr>
      <w:r w:rsidRPr="00224878">
        <w:rPr>
          <w:rFonts w:ascii="Arial" w:eastAsia="Times New Roman" w:hAnsi="Arial" w:cs="Arial"/>
          <w:sz w:val="20"/>
          <w:szCs w:val="20"/>
        </w:rPr>
        <w:t>As stated in §63.7565, you must comply with the applicable General Provisions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734"/>
        <w:gridCol w:w="2774"/>
        <w:gridCol w:w="4876"/>
      </w:tblGrid>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73435" w:rsidRPr="00224878" w:rsidRDefault="00673435" w:rsidP="00C562D9">
            <w:pPr>
              <w:spacing w:after="0" w:line="240" w:lineRule="auto"/>
              <w:jc w:val="center"/>
              <w:rPr>
                <w:rFonts w:ascii="Arial" w:eastAsia="Times New Roman" w:hAnsi="Arial" w:cs="Arial"/>
                <w:b/>
                <w:bCs/>
                <w:sz w:val="20"/>
                <w:szCs w:val="20"/>
              </w:rPr>
            </w:pPr>
            <w:r w:rsidRPr="00224878">
              <w:rPr>
                <w:rFonts w:ascii="Arial" w:eastAsia="Times New Roman" w:hAnsi="Arial" w:cs="Arial"/>
                <w:b/>
                <w:bCs/>
                <w:sz w:val="20"/>
                <w:szCs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73435" w:rsidRPr="00224878" w:rsidRDefault="00673435" w:rsidP="00C562D9">
            <w:pPr>
              <w:spacing w:after="0" w:line="240" w:lineRule="auto"/>
              <w:jc w:val="center"/>
              <w:rPr>
                <w:rFonts w:ascii="Arial" w:eastAsia="Times New Roman" w:hAnsi="Arial" w:cs="Arial"/>
                <w:b/>
                <w:bCs/>
                <w:sz w:val="20"/>
                <w:szCs w:val="20"/>
              </w:rPr>
            </w:pPr>
            <w:r w:rsidRPr="00224878">
              <w:rPr>
                <w:rFonts w:ascii="Arial" w:eastAsia="Times New Roman" w:hAnsi="Arial" w:cs="Arial"/>
                <w:b/>
                <w:bCs/>
                <w:sz w:val="20"/>
                <w:szCs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73435" w:rsidRPr="00224878" w:rsidRDefault="00673435" w:rsidP="00C562D9">
            <w:pPr>
              <w:spacing w:after="0" w:line="240" w:lineRule="auto"/>
              <w:jc w:val="center"/>
              <w:rPr>
                <w:rFonts w:ascii="Arial" w:eastAsia="Times New Roman" w:hAnsi="Arial" w:cs="Arial"/>
                <w:b/>
                <w:bCs/>
                <w:sz w:val="20"/>
                <w:szCs w:val="20"/>
              </w:rPr>
            </w:pPr>
            <w:r w:rsidRPr="00224878">
              <w:rPr>
                <w:rFonts w:ascii="Arial" w:eastAsia="Times New Roman" w:hAnsi="Arial" w:cs="Arial"/>
                <w:b/>
                <w:bCs/>
                <w:sz w:val="20"/>
                <w:szCs w:val="20"/>
              </w:rPr>
              <w:t>Applies to subpart DDDDD</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 Additional terms defined in §63.7575</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Preconstruction Review and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§63.6(a), (b)(1)-</w:t>
            </w:r>
            <w:r w:rsidRPr="00224878">
              <w:rPr>
                <w:rFonts w:ascii="Arial" w:eastAsia="Times New Roman" w:hAnsi="Arial" w:cs="Arial"/>
                <w:sz w:val="20"/>
                <w:szCs w:val="20"/>
              </w:rPr>
              <w:lastRenderedPageBreak/>
              <w:t>(b)(5), (b)(7), (c)</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lastRenderedPageBreak/>
              <w:t xml:space="preserve">Compliance with Standards </w:t>
            </w:r>
            <w:r w:rsidRPr="00224878">
              <w:rPr>
                <w:rFonts w:ascii="Arial" w:eastAsia="Times New Roman" w:hAnsi="Arial" w:cs="Arial"/>
                <w:sz w:val="20"/>
                <w:szCs w:val="20"/>
              </w:rPr>
              <w:lastRenderedPageBreak/>
              <w:t>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lastRenderedPageBreak/>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lastRenderedPageBreak/>
              <w:t>§63.6(f)(2) and (3)</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§63.6(g)</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Use of alternative standards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 except §63.7555(d</w:t>
            </w:r>
            <w:proofErr w:type="gramStart"/>
            <w:r w:rsidRPr="00224878">
              <w:rPr>
                <w:rFonts w:ascii="Arial" w:eastAsia="Times New Roman" w:hAnsi="Arial" w:cs="Arial"/>
                <w:sz w:val="20"/>
                <w:szCs w:val="20"/>
              </w:rPr>
              <w:t>)(</w:t>
            </w:r>
            <w:proofErr w:type="gramEnd"/>
            <w:r w:rsidRPr="00224878">
              <w:rPr>
                <w:rFonts w:ascii="Arial" w:eastAsia="Times New Roman" w:hAnsi="Arial" w:cs="Arial"/>
                <w:sz w:val="20"/>
                <w:szCs w:val="20"/>
              </w:rPr>
              <w:t>13) specifies the procedure for application and approval of an alternative timeframe with the PM controls requirement in the startup work practice (2).</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§63.6(</w:t>
            </w:r>
            <w:proofErr w:type="spellStart"/>
            <w:r w:rsidRPr="00224878">
              <w:rPr>
                <w:rFonts w:ascii="Arial" w:eastAsia="Times New Roman" w:hAnsi="Arial" w:cs="Arial"/>
                <w:sz w:val="20"/>
                <w:szCs w:val="20"/>
              </w:rPr>
              <w:t>i</w:t>
            </w:r>
            <w:proofErr w:type="spellEnd"/>
            <w:r w:rsidRPr="00224878">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 Note: Facilities may also request extensions of compliance for the installation of combined heat and power, waste heat recovery, or gas pipeline or fuel feeding infrastructure as a means of complying with this subpart.</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Presidential exemption.</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§63.7(a), (b), (c), and (d)</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§63.7(e)(2)-(e)(9), (f), (g), and (h)</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§63.8(a) and (b)</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Applicability and 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§63.8(c)(2) to (c)(9)</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§63.8(d)(1) and (2)</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Monitoring Requirements, 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§63.8(d)(3)</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Written procedures for CMS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 xml:space="preserve">Yes, except for the last sentence, </w:t>
            </w:r>
            <w:proofErr w:type="gramStart"/>
            <w:r w:rsidRPr="00224878">
              <w:rPr>
                <w:rFonts w:ascii="Arial" w:eastAsia="Times New Roman" w:hAnsi="Arial" w:cs="Arial"/>
                <w:sz w:val="20"/>
                <w:szCs w:val="20"/>
              </w:rPr>
              <w:t>which refers to a startup, shutdown, and malfunction plan.</w:t>
            </w:r>
            <w:proofErr w:type="gramEnd"/>
            <w:r w:rsidRPr="00224878">
              <w:rPr>
                <w:rFonts w:ascii="Arial" w:eastAsia="Times New Roman" w:hAnsi="Arial" w:cs="Arial"/>
                <w:sz w:val="20"/>
                <w:szCs w:val="20"/>
              </w:rPr>
              <w:t xml:space="preserve"> Startup, shutdown, and malfunction plans are not required.</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Performance evaluation of a CMS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§63.8(f)</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Reduction of monitoring data</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§63.9</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§63.10(a), (b)(1)</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Recordkeeping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§63.10(b)(2)(</w:t>
            </w:r>
            <w:proofErr w:type="spellStart"/>
            <w:r w:rsidRPr="00224878">
              <w:rPr>
                <w:rFonts w:ascii="Arial" w:eastAsia="Times New Roman" w:hAnsi="Arial" w:cs="Arial"/>
                <w:sz w:val="20"/>
                <w:szCs w:val="20"/>
              </w:rPr>
              <w:t>i</w:t>
            </w:r>
            <w:proofErr w:type="spellEnd"/>
            <w:r w:rsidRPr="00224878">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Recordkeeping of occurrence and duration of startups or shutdowns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lastRenderedPageBreak/>
              <w:t>§63.10(b)(2)(vi)</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Recordkeeping for CMS malfunctions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§63.10(b)(2)(vii) to (xiv)</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Other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§63.10(c)(1) to (9)</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§63.10(c)(12) and (13)</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§63.10(d)(1) and (2)</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Progress reports under an 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§63.10(e)</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Additional reporting requirements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Waiver of recordkeeping or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State Authority and Delegation</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r w:rsidR="00673435" w:rsidRPr="00224878" w:rsidTr="00C56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§63.13-63.16</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Addresses, Incorporation by Reference, Availability of Information, Performance Track Provisions</w:t>
            </w:r>
          </w:p>
        </w:tc>
        <w:tc>
          <w:tcPr>
            <w:tcW w:w="0" w:type="auto"/>
            <w:tcBorders>
              <w:top w:val="single" w:sz="6" w:space="0" w:color="000000"/>
              <w:left w:val="single" w:sz="6" w:space="0" w:color="000000"/>
              <w:bottom w:val="single" w:sz="6" w:space="0" w:color="000000"/>
              <w:right w:val="single" w:sz="6" w:space="0" w:color="000000"/>
            </w:tcBorders>
            <w:hideMark/>
          </w:tcPr>
          <w:p w:rsidR="00673435" w:rsidRPr="00224878" w:rsidRDefault="00673435" w:rsidP="00C562D9">
            <w:pPr>
              <w:spacing w:after="0" w:line="240" w:lineRule="auto"/>
              <w:rPr>
                <w:rFonts w:ascii="Arial" w:eastAsia="Times New Roman" w:hAnsi="Arial" w:cs="Arial"/>
                <w:sz w:val="20"/>
                <w:szCs w:val="20"/>
              </w:rPr>
            </w:pPr>
            <w:r w:rsidRPr="00224878">
              <w:rPr>
                <w:rFonts w:ascii="Arial" w:eastAsia="Times New Roman" w:hAnsi="Arial" w:cs="Arial"/>
                <w:sz w:val="20"/>
                <w:szCs w:val="20"/>
              </w:rPr>
              <w:t>Yes.</w:t>
            </w:r>
          </w:p>
        </w:tc>
      </w:tr>
    </w:tbl>
    <w:p w:rsidR="00673435" w:rsidRPr="00010217" w:rsidRDefault="00673435" w:rsidP="00010217">
      <w:pPr>
        <w:rPr>
          <w:rFonts w:ascii="Times New Roman" w:hAnsi="Times New Roman" w:cs="Times New Roman"/>
          <w:sz w:val="24"/>
          <w:szCs w:val="24"/>
        </w:rPr>
      </w:pPr>
      <w:bookmarkStart w:id="0" w:name="_GoBack"/>
      <w:bookmarkEnd w:id="0"/>
    </w:p>
    <w:sectPr w:rsidR="00673435" w:rsidRPr="000102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8B16E8"/>
    <w:multiLevelType w:val="hybridMultilevel"/>
    <w:tmpl w:val="340ACC86"/>
    <w:lvl w:ilvl="0" w:tplc="E1F28A54">
      <w:start w:val="1"/>
      <w:numFmt w:val="lowerLetter"/>
      <w:lvlText w:val="(%1)"/>
      <w:lvlJc w:val="left"/>
      <w:pPr>
        <w:ind w:left="1260" w:hanging="78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469"/>
    <w:rsid w:val="00010217"/>
    <w:rsid w:val="000570BF"/>
    <w:rsid w:val="00091DEA"/>
    <w:rsid w:val="0012624F"/>
    <w:rsid w:val="0013181B"/>
    <w:rsid w:val="00132D9D"/>
    <w:rsid w:val="001874D3"/>
    <w:rsid w:val="00202D44"/>
    <w:rsid w:val="00295E3E"/>
    <w:rsid w:val="002D4F86"/>
    <w:rsid w:val="003C04E4"/>
    <w:rsid w:val="003D1877"/>
    <w:rsid w:val="003E0184"/>
    <w:rsid w:val="003E3552"/>
    <w:rsid w:val="004873E4"/>
    <w:rsid w:val="004A75A5"/>
    <w:rsid w:val="00517B66"/>
    <w:rsid w:val="005241DA"/>
    <w:rsid w:val="005A1469"/>
    <w:rsid w:val="005A6342"/>
    <w:rsid w:val="00673435"/>
    <w:rsid w:val="006F3F2E"/>
    <w:rsid w:val="007A6473"/>
    <w:rsid w:val="007D7933"/>
    <w:rsid w:val="00801EBE"/>
    <w:rsid w:val="00834F4C"/>
    <w:rsid w:val="008455C1"/>
    <w:rsid w:val="00851D57"/>
    <w:rsid w:val="00872D03"/>
    <w:rsid w:val="008736DB"/>
    <w:rsid w:val="00897031"/>
    <w:rsid w:val="0090569D"/>
    <w:rsid w:val="009253F3"/>
    <w:rsid w:val="00950086"/>
    <w:rsid w:val="00954564"/>
    <w:rsid w:val="00991A8C"/>
    <w:rsid w:val="009A3EE3"/>
    <w:rsid w:val="009C0761"/>
    <w:rsid w:val="00A447FB"/>
    <w:rsid w:val="00B2262A"/>
    <w:rsid w:val="00C037E0"/>
    <w:rsid w:val="00C60BF9"/>
    <w:rsid w:val="00D00618"/>
    <w:rsid w:val="00D37686"/>
    <w:rsid w:val="00DD0501"/>
    <w:rsid w:val="00E924BA"/>
    <w:rsid w:val="00EA1CBC"/>
    <w:rsid w:val="00EF0BA2"/>
    <w:rsid w:val="00EF645E"/>
    <w:rsid w:val="00F604DF"/>
    <w:rsid w:val="00F806B1"/>
    <w:rsid w:val="00F90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2262A"/>
    <w:pPr>
      <w:spacing w:before="200" w:after="100" w:line="240" w:lineRule="auto"/>
      <w:jc w:val="center"/>
      <w:outlineLvl w:val="1"/>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2262A"/>
    <w:rPr>
      <w:rFonts w:ascii="Times New Roman" w:eastAsia="Times New Roman" w:hAnsi="Times New Roman" w:cs="Times New Roman"/>
      <w:b/>
      <w:bCs/>
      <w:sz w:val="20"/>
      <w:szCs w:val="20"/>
    </w:rPr>
  </w:style>
  <w:style w:type="paragraph" w:styleId="NormalWeb">
    <w:name w:val="Normal (Web)"/>
    <w:basedOn w:val="Normal"/>
    <w:uiPriority w:val="99"/>
    <w:unhideWhenUsed/>
    <w:rsid w:val="00B2262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styleId="ListParagraph">
    <w:name w:val="List Paragraph"/>
    <w:basedOn w:val="Normal"/>
    <w:uiPriority w:val="34"/>
    <w:qFormat/>
    <w:rsid w:val="009A3EE3"/>
    <w:pPr>
      <w:ind w:left="720"/>
      <w:contextualSpacing/>
    </w:pPr>
  </w:style>
  <w:style w:type="character" w:styleId="Hyperlink">
    <w:name w:val="Hyperlink"/>
    <w:basedOn w:val="DefaultParagraphFont"/>
    <w:uiPriority w:val="99"/>
    <w:semiHidden/>
    <w:unhideWhenUsed/>
    <w:rsid w:val="00010217"/>
    <w:rPr>
      <w:rFonts w:ascii="Arial" w:hAnsi="Arial" w:cs="Arial" w:hint="default"/>
      <w:strike w:val="0"/>
      <w:dstrike w:val="0"/>
      <w:color w:val="0000FF"/>
      <w:sz w:val="17"/>
      <w:szCs w:val="17"/>
      <w:u w:val="none"/>
      <w:effect w:val="none"/>
    </w:rPr>
  </w:style>
  <w:style w:type="paragraph" w:customStyle="1" w:styleId="fp">
    <w:name w:val="fp"/>
    <w:basedOn w:val="Normal"/>
    <w:rsid w:val="00010217"/>
    <w:pPr>
      <w:spacing w:before="200"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0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0217"/>
    <w:rPr>
      <w:rFonts w:ascii="Tahoma" w:hAnsi="Tahoma" w:cs="Tahoma"/>
      <w:sz w:val="16"/>
      <w:szCs w:val="16"/>
    </w:rPr>
  </w:style>
  <w:style w:type="paragraph" w:customStyle="1" w:styleId="gpotblnote">
    <w:name w:val="gpotbl_note"/>
    <w:basedOn w:val="Normal"/>
    <w:rsid w:val="00C037E0"/>
    <w:pPr>
      <w:spacing w:before="100" w:beforeAutospacing="1" w:after="100" w:afterAutospacing="1" w:line="240" w:lineRule="auto"/>
      <w:ind w:firstLine="48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2262A"/>
    <w:pPr>
      <w:spacing w:before="200" w:after="100" w:line="240" w:lineRule="auto"/>
      <w:jc w:val="center"/>
      <w:outlineLvl w:val="1"/>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2262A"/>
    <w:rPr>
      <w:rFonts w:ascii="Times New Roman" w:eastAsia="Times New Roman" w:hAnsi="Times New Roman" w:cs="Times New Roman"/>
      <w:b/>
      <w:bCs/>
      <w:sz w:val="20"/>
      <w:szCs w:val="20"/>
    </w:rPr>
  </w:style>
  <w:style w:type="paragraph" w:styleId="NormalWeb">
    <w:name w:val="Normal (Web)"/>
    <w:basedOn w:val="Normal"/>
    <w:uiPriority w:val="99"/>
    <w:unhideWhenUsed/>
    <w:rsid w:val="00B2262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styleId="ListParagraph">
    <w:name w:val="List Paragraph"/>
    <w:basedOn w:val="Normal"/>
    <w:uiPriority w:val="34"/>
    <w:qFormat/>
    <w:rsid w:val="009A3EE3"/>
    <w:pPr>
      <w:ind w:left="720"/>
      <w:contextualSpacing/>
    </w:pPr>
  </w:style>
  <w:style w:type="character" w:styleId="Hyperlink">
    <w:name w:val="Hyperlink"/>
    <w:basedOn w:val="DefaultParagraphFont"/>
    <w:uiPriority w:val="99"/>
    <w:semiHidden/>
    <w:unhideWhenUsed/>
    <w:rsid w:val="00010217"/>
    <w:rPr>
      <w:rFonts w:ascii="Arial" w:hAnsi="Arial" w:cs="Arial" w:hint="default"/>
      <w:strike w:val="0"/>
      <w:dstrike w:val="0"/>
      <w:color w:val="0000FF"/>
      <w:sz w:val="17"/>
      <w:szCs w:val="17"/>
      <w:u w:val="none"/>
      <w:effect w:val="none"/>
    </w:rPr>
  </w:style>
  <w:style w:type="paragraph" w:customStyle="1" w:styleId="fp">
    <w:name w:val="fp"/>
    <w:basedOn w:val="Normal"/>
    <w:rsid w:val="00010217"/>
    <w:pPr>
      <w:spacing w:before="200"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0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0217"/>
    <w:rPr>
      <w:rFonts w:ascii="Tahoma" w:hAnsi="Tahoma" w:cs="Tahoma"/>
      <w:sz w:val="16"/>
      <w:szCs w:val="16"/>
    </w:rPr>
  </w:style>
  <w:style w:type="paragraph" w:customStyle="1" w:styleId="gpotblnote">
    <w:name w:val="gpotbl_note"/>
    <w:basedOn w:val="Normal"/>
    <w:rsid w:val="00C037E0"/>
    <w:pPr>
      <w:spacing w:before="100" w:beforeAutospacing="1" w:after="100" w:afterAutospacing="1" w:line="240" w:lineRule="auto"/>
      <w:ind w:firstLine="48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952185">
      <w:bodyDiv w:val="1"/>
      <w:marLeft w:val="0"/>
      <w:marRight w:val="0"/>
      <w:marTop w:val="30"/>
      <w:marBottom w:val="750"/>
      <w:divBdr>
        <w:top w:val="none" w:sz="0" w:space="0" w:color="auto"/>
        <w:left w:val="none" w:sz="0" w:space="0" w:color="auto"/>
        <w:bottom w:val="none" w:sz="0" w:space="0" w:color="auto"/>
        <w:right w:val="none" w:sz="0" w:space="0" w:color="auto"/>
      </w:divBdr>
      <w:divsChild>
        <w:div w:id="1700083563">
          <w:marLeft w:val="0"/>
          <w:marRight w:val="0"/>
          <w:marTop w:val="0"/>
          <w:marBottom w:val="0"/>
          <w:divBdr>
            <w:top w:val="none" w:sz="0" w:space="0" w:color="auto"/>
            <w:left w:val="none" w:sz="0" w:space="0" w:color="auto"/>
            <w:bottom w:val="none" w:sz="0" w:space="0" w:color="auto"/>
            <w:right w:val="none" w:sz="0" w:space="0" w:color="auto"/>
          </w:divBdr>
        </w:div>
      </w:divsChild>
    </w:div>
    <w:div w:id="517352631">
      <w:bodyDiv w:val="1"/>
      <w:marLeft w:val="0"/>
      <w:marRight w:val="0"/>
      <w:marTop w:val="30"/>
      <w:marBottom w:val="750"/>
      <w:divBdr>
        <w:top w:val="none" w:sz="0" w:space="0" w:color="auto"/>
        <w:left w:val="none" w:sz="0" w:space="0" w:color="auto"/>
        <w:bottom w:val="none" w:sz="0" w:space="0" w:color="auto"/>
        <w:right w:val="none" w:sz="0" w:space="0" w:color="auto"/>
      </w:divBdr>
      <w:divsChild>
        <w:div w:id="963731847">
          <w:marLeft w:val="0"/>
          <w:marRight w:val="0"/>
          <w:marTop w:val="0"/>
          <w:marBottom w:val="0"/>
          <w:divBdr>
            <w:top w:val="none" w:sz="0" w:space="0" w:color="auto"/>
            <w:left w:val="none" w:sz="0" w:space="0" w:color="auto"/>
            <w:bottom w:val="none" w:sz="0" w:space="0" w:color="auto"/>
            <w:right w:val="none" w:sz="0" w:space="0" w:color="auto"/>
          </w:divBdr>
        </w:div>
      </w:divsChild>
    </w:div>
    <w:div w:id="664548600">
      <w:bodyDiv w:val="1"/>
      <w:marLeft w:val="0"/>
      <w:marRight w:val="0"/>
      <w:marTop w:val="30"/>
      <w:marBottom w:val="750"/>
      <w:divBdr>
        <w:top w:val="none" w:sz="0" w:space="0" w:color="auto"/>
        <w:left w:val="none" w:sz="0" w:space="0" w:color="auto"/>
        <w:bottom w:val="none" w:sz="0" w:space="0" w:color="auto"/>
        <w:right w:val="none" w:sz="0" w:space="0" w:color="auto"/>
      </w:divBdr>
      <w:divsChild>
        <w:div w:id="293685257">
          <w:marLeft w:val="0"/>
          <w:marRight w:val="0"/>
          <w:marTop w:val="0"/>
          <w:marBottom w:val="0"/>
          <w:divBdr>
            <w:top w:val="none" w:sz="0" w:space="0" w:color="auto"/>
            <w:left w:val="none" w:sz="0" w:space="0" w:color="auto"/>
            <w:bottom w:val="none" w:sz="0" w:space="0" w:color="auto"/>
            <w:right w:val="none" w:sz="0" w:space="0" w:color="auto"/>
          </w:divBdr>
        </w:div>
      </w:divsChild>
    </w:div>
    <w:div w:id="822040518">
      <w:bodyDiv w:val="1"/>
      <w:marLeft w:val="0"/>
      <w:marRight w:val="0"/>
      <w:marTop w:val="30"/>
      <w:marBottom w:val="750"/>
      <w:divBdr>
        <w:top w:val="none" w:sz="0" w:space="0" w:color="auto"/>
        <w:left w:val="none" w:sz="0" w:space="0" w:color="auto"/>
        <w:bottom w:val="none" w:sz="0" w:space="0" w:color="auto"/>
        <w:right w:val="none" w:sz="0" w:space="0" w:color="auto"/>
      </w:divBdr>
      <w:divsChild>
        <w:div w:id="1180390239">
          <w:marLeft w:val="0"/>
          <w:marRight w:val="0"/>
          <w:marTop w:val="0"/>
          <w:marBottom w:val="0"/>
          <w:divBdr>
            <w:top w:val="none" w:sz="0" w:space="0" w:color="auto"/>
            <w:left w:val="none" w:sz="0" w:space="0" w:color="auto"/>
            <w:bottom w:val="none" w:sz="0" w:space="0" w:color="auto"/>
            <w:right w:val="none" w:sz="0" w:space="0" w:color="auto"/>
          </w:divBdr>
        </w:div>
      </w:divsChild>
    </w:div>
    <w:div w:id="956983758">
      <w:bodyDiv w:val="1"/>
      <w:marLeft w:val="0"/>
      <w:marRight w:val="0"/>
      <w:marTop w:val="30"/>
      <w:marBottom w:val="750"/>
      <w:divBdr>
        <w:top w:val="none" w:sz="0" w:space="0" w:color="auto"/>
        <w:left w:val="none" w:sz="0" w:space="0" w:color="auto"/>
        <w:bottom w:val="none" w:sz="0" w:space="0" w:color="auto"/>
        <w:right w:val="none" w:sz="0" w:space="0" w:color="auto"/>
      </w:divBdr>
      <w:divsChild>
        <w:div w:id="2098356888">
          <w:marLeft w:val="0"/>
          <w:marRight w:val="0"/>
          <w:marTop w:val="0"/>
          <w:marBottom w:val="0"/>
          <w:divBdr>
            <w:top w:val="none" w:sz="0" w:space="0" w:color="auto"/>
            <w:left w:val="none" w:sz="0" w:space="0" w:color="auto"/>
            <w:bottom w:val="none" w:sz="0" w:space="0" w:color="auto"/>
            <w:right w:val="none" w:sz="0" w:space="0" w:color="auto"/>
          </w:divBdr>
          <w:divsChild>
            <w:div w:id="1613627789">
              <w:marLeft w:val="0"/>
              <w:marRight w:val="0"/>
              <w:marTop w:val="0"/>
              <w:marBottom w:val="0"/>
              <w:divBdr>
                <w:top w:val="none" w:sz="0" w:space="0" w:color="auto"/>
                <w:left w:val="none" w:sz="0" w:space="0" w:color="auto"/>
                <w:bottom w:val="none" w:sz="0" w:space="0" w:color="auto"/>
                <w:right w:val="none" w:sz="0" w:space="0" w:color="auto"/>
              </w:divBdr>
              <w:divsChild>
                <w:div w:id="752820681">
                  <w:marLeft w:val="0"/>
                  <w:marRight w:val="0"/>
                  <w:marTop w:val="0"/>
                  <w:marBottom w:val="0"/>
                  <w:divBdr>
                    <w:top w:val="single" w:sz="12" w:space="0" w:color="000000"/>
                    <w:left w:val="single" w:sz="12" w:space="0" w:color="000000"/>
                    <w:bottom w:val="single" w:sz="12" w:space="0" w:color="000000"/>
                    <w:right w:val="single" w:sz="12" w:space="0" w:color="000000"/>
                  </w:divBdr>
                </w:div>
                <w:div w:id="104787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348325">
      <w:bodyDiv w:val="1"/>
      <w:marLeft w:val="0"/>
      <w:marRight w:val="0"/>
      <w:marTop w:val="30"/>
      <w:marBottom w:val="750"/>
      <w:divBdr>
        <w:top w:val="none" w:sz="0" w:space="0" w:color="auto"/>
        <w:left w:val="none" w:sz="0" w:space="0" w:color="auto"/>
        <w:bottom w:val="none" w:sz="0" w:space="0" w:color="auto"/>
        <w:right w:val="none" w:sz="0" w:space="0" w:color="auto"/>
      </w:divBdr>
      <w:divsChild>
        <w:div w:id="1347705339">
          <w:marLeft w:val="0"/>
          <w:marRight w:val="0"/>
          <w:marTop w:val="0"/>
          <w:marBottom w:val="0"/>
          <w:divBdr>
            <w:top w:val="none" w:sz="0" w:space="0" w:color="auto"/>
            <w:left w:val="none" w:sz="0" w:space="0" w:color="auto"/>
            <w:bottom w:val="none" w:sz="0" w:space="0" w:color="auto"/>
            <w:right w:val="none" w:sz="0" w:space="0" w:color="auto"/>
          </w:divBdr>
        </w:div>
      </w:divsChild>
    </w:div>
    <w:div w:id="1642730400">
      <w:bodyDiv w:val="1"/>
      <w:marLeft w:val="0"/>
      <w:marRight w:val="0"/>
      <w:marTop w:val="30"/>
      <w:marBottom w:val="750"/>
      <w:divBdr>
        <w:top w:val="none" w:sz="0" w:space="0" w:color="auto"/>
        <w:left w:val="none" w:sz="0" w:space="0" w:color="auto"/>
        <w:bottom w:val="none" w:sz="0" w:space="0" w:color="auto"/>
        <w:right w:val="none" w:sz="0" w:space="0" w:color="auto"/>
      </w:divBdr>
      <w:divsChild>
        <w:div w:id="196744157">
          <w:marLeft w:val="0"/>
          <w:marRight w:val="0"/>
          <w:marTop w:val="0"/>
          <w:marBottom w:val="0"/>
          <w:divBdr>
            <w:top w:val="none" w:sz="0" w:space="0" w:color="auto"/>
            <w:left w:val="none" w:sz="0" w:space="0" w:color="auto"/>
            <w:bottom w:val="none" w:sz="0" w:space="0" w:color="auto"/>
            <w:right w:val="none" w:sz="0" w:space="0" w:color="auto"/>
          </w:divBdr>
          <w:divsChild>
            <w:div w:id="39787892">
              <w:marLeft w:val="0"/>
              <w:marRight w:val="0"/>
              <w:marTop w:val="0"/>
              <w:marBottom w:val="0"/>
              <w:divBdr>
                <w:top w:val="none" w:sz="0" w:space="0" w:color="auto"/>
                <w:left w:val="none" w:sz="0" w:space="0" w:color="auto"/>
                <w:bottom w:val="none" w:sz="0" w:space="0" w:color="auto"/>
                <w:right w:val="none" w:sz="0" w:space="0" w:color="auto"/>
              </w:divBdr>
              <w:divsChild>
                <w:div w:id="107818490">
                  <w:marLeft w:val="0"/>
                  <w:marRight w:val="0"/>
                  <w:marTop w:val="0"/>
                  <w:marBottom w:val="0"/>
                  <w:divBdr>
                    <w:top w:val="single" w:sz="12" w:space="0" w:color="000000"/>
                    <w:left w:val="single" w:sz="12" w:space="0" w:color="000000"/>
                    <w:bottom w:val="single" w:sz="12" w:space="0" w:color="000000"/>
                    <w:right w:val="single" w:sz="12" w:space="0" w:color="000000"/>
                  </w:divBdr>
                </w:div>
                <w:div w:id="198485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462503">
      <w:bodyDiv w:val="1"/>
      <w:marLeft w:val="0"/>
      <w:marRight w:val="0"/>
      <w:marTop w:val="30"/>
      <w:marBottom w:val="750"/>
      <w:divBdr>
        <w:top w:val="none" w:sz="0" w:space="0" w:color="auto"/>
        <w:left w:val="none" w:sz="0" w:space="0" w:color="auto"/>
        <w:bottom w:val="none" w:sz="0" w:space="0" w:color="auto"/>
        <w:right w:val="none" w:sz="0" w:space="0" w:color="auto"/>
      </w:divBdr>
      <w:divsChild>
        <w:div w:id="1261720986">
          <w:marLeft w:val="0"/>
          <w:marRight w:val="0"/>
          <w:marTop w:val="0"/>
          <w:marBottom w:val="0"/>
          <w:divBdr>
            <w:top w:val="none" w:sz="0" w:space="0" w:color="auto"/>
            <w:left w:val="none" w:sz="0" w:space="0" w:color="auto"/>
            <w:bottom w:val="none" w:sz="0" w:space="0" w:color="auto"/>
            <w:right w:val="none" w:sz="0" w:space="0" w:color="auto"/>
          </w:divBdr>
        </w:div>
      </w:divsChild>
    </w:div>
    <w:div w:id="1793862941">
      <w:bodyDiv w:val="1"/>
      <w:marLeft w:val="0"/>
      <w:marRight w:val="0"/>
      <w:marTop w:val="30"/>
      <w:marBottom w:val="750"/>
      <w:divBdr>
        <w:top w:val="none" w:sz="0" w:space="0" w:color="auto"/>
        <w:left w:val="none" w:sz="0" w:space="0" w:color="auto"/>
        <w:bottom w:val="none" w:sz="0" w:space="0" w:color="auto"/>
        <w:right w:val="none" w:sz="0" w:space="0" w:color="auto"/>
      </w:divBdr>
      <w:divsChild>
        <w:div w:id="1798258038">
          <w:marLeft w:val="0"/>
          <w:marRight w:val="0"/>
          <w:marTop w:val="0"/>
          <w:marBottom w:val="0"/>
          <w:divBdr>
            <w:top w:val="none" w:sz="0" w:space="0" w:color="auto"/>
            <w:left w:val="none" w:sz="0" w:space="0" w:color="auto"/>
            <w:bottom w:val="none" w:sz="0" w:space="0" w:color="auto"/>
            <w:right w:val="none" w:sz="0" w:space="0" w:color="auto"/>
          </w:divBdr>
        </w:div>
      </w:divsChild>
    </w:div>
    <w:div w:id="1910849820">
      <w:bodyDiv w:val="1"/>
      <w:marLeft w:val="0"/>
      <w:marRight w:val="0"/>
      <w:marTop w:val="30"/>
      <w:marBottom w:val="750"/>
      <w:divBdr>
        <w:top w:val="none" w:sz="0" w:space="0" w:color="auto"/>
        <w:left w:val="none" w:sz="0" w:space="0" w:color="auto"/>
        <w:bottom w:val="none" w:sz="0" w:space="0" w:color="auto"/>
        <w:right w:val="none" w:sz="0" w:space="0" w:color="auto"/>
      </w:divBdr>
      <w:divsChild>
        <w:div w:id="544372290">
          <w:marLeft w:val="0"/>
          <w:marRight w:val="0"/>
          <w:marTop w:val="0"/>
          <w:marBottom w:val="0"/>
          <w:divBdr>
            <w:top w:val="none" w:sz="0" w:space="0" w:color="auto"/>
            <w:left w:val="none" w:sz="0" w:space="0" w:color="auto"/>
            <w:bottom w:val="none" w:sz="0" w:space="0" w:color="auto"/>
            <w:right w:val="none" w:sz="0" w:space="0" w:color="auto"/>
          </w:divBdr>
        </w:div>
      </w:divsChild>
    </w:div>
    <w:div w:id="1929264789">
      <w:bodyDiv w:val="1"/>
      <w:marLeft w:val="0"/>
      <w:marRight w:val="0"/>
      <w:marTop w:val="30"/>
      <w:marBottom w:val="750"/>
      <w:divBdr>
        <w:top w:val="none" w:sz="0" w:space="0" w:color="auto"/>
        <w:left w:val="none" w:sz="0" w:space="0" w:color="auto"/>
        <w:bottom w:val="none" w:sz="0" w:space="0" w:color="auto"/>
        <w:right w:val="none" w:sz="0" w:space="0" w:color="auto"/>
      </w:divBdr>
      <w:divsChild>
        <w:div w:id="711996462">
          <w:marLeft w:val="0"/>
          <w:marRight w:val="0"/>
          <w:marTop w:val="0"/>
          <w:marBottom w:val="0"/>
          <w:divBdr>
            <w:top w:val="none" w:sz="0" w:space="0" w:color="auto"/>
            <w:left w:val="none" w:sz="0" w:space="0" w:color="auto"/>
            <w:bottom w:val="none" w:sz="0" w:space="0" w:color="auto"/>
            <w:right w:val="none" w:sz="0" w:space="0" w:color="auto"/>
          </w:divBdr>
        </w:div>
      </w:divsChild>
    </w:div>
    <w:div w:id="2006005947">
      <w:bodyDiv w:val="1"/>
      <w:marLeft w:val="0"/>
      <w:marRight w:val="0"/>
      <w:marTop w:val="30"/>
      <w:marBottom w:val="750"/>
      <w:divBdr>
        <w:top w:val="none" w:sz="0" w:space="0" w:color="auto"/>
        <w:left w:val="none" w:sz="0" w:space="0" w:color="auto"/>
        <w:bottom w:val="none" w:sz="0" w:space="0" w:color="auto"/>
        <w:right w:val="none" w:sz="0" w:space="0" w:color="auto"/>
      </w:divBdr>
      <w:divsChild>
        <w:div w:id="294877270">
          <w:marLeft w:val="0"/>
          <w:marRight w:val="0"/>
          <w:marTop w:val="0"/>
          <w:marBottom w:val="0"/>
          <w:divBdr>
            <w:top w:val="none" w:sz="0" w:space="0" w:color="auto"/>
            <w:left w:val="none" w:sz="0" w:space="0" w:color="auto"/>
            <w:bottom w:val="none" w:sz="0" w:space="0" w:color="auto"/>
            <w:right w:val="none" w:sz="0" w:space="0" w:color="auto"/>
          </w:divBdr>
          <w:divsChild>
            <w:div w:id="463541453">
              <w:marLeft w:val="0"/>
              <w:marRight w:val="0"/>
              <w:marTop w:val="0"/>
              <w:marBottom w:val="0"/>
              <w:divBdr>
                <w:top w:val="none" w:sz="0" w:space="0" w:color="auto"/>
                <w:left w:val="none" w:sz="0" w:space="0" w:color="auto"/>
                <w:bottom w:val="none" w:sz="0" w:space="0" w:color="auto"/>
                <w:right w:val="none" w:sz="0" w:space="0" w:color="auto"/>
              </w:divBdr>
              <w:divsChild>
                <w:div w:id="19972231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2022706051">
      <w:bodyDiv w:val="1"/>
      <w:marLeft w:val="0"/>
      <w:marRight w:val="0"/>
      <w:marTop w:val="30"/>
      <w:marBottom w:val="750"/>
      <w:divBdr>
        <w:top w:val="none" w:sz="0" w:space="0" w:color="auto"/>
        <w:left w:val="none" w:sz="0" w:space="0" w:color="auto"/>
        <w:bottom w:val="none" w:sz="0" w:space="0" w:color="auto"/>
        <w:right w:val="none" w:sz="0" w:space="0" w:color="auto"/>
      </w:divBdr>
      <w:divsChild>
        <w:div w:id="1371689411">
          <w:marLeft w:val="0"/>
          <w:marRight w:val="0"/>
          <w:marTop w:val="0"/>
          <w:marBottom w:val="0"/>
          <w:divBdr>
            <w:top w:val="none" w:sz="0" w:space="0" w:color="auto"/>
            <w:left w:val="none" w:sz="0" w:space="0" w:color="auto"/>
            <w:bottom w:val="none" w:sz="0" w:space="0" w:color="auto"/>
            <w:right w:val="none" w:sz="0" w:space="0" w:color="auto"/>
          </w:divBdr>
          <w:divsChild>
            <w:div w:id="8782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360</TotalTime>
  <Pages>11</Pages>
  <Words>3902</Words>
  <Characters>22247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The Dow Chemical Company</Company>
  <LinksUpToDate>false</LinksUpToDate>
  <CharactersWithSpaces>26097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Fedczak, James (JP)</dc:creator>
  <cp:lastModifiedBy>Fedczak, James (JP)</cp:lastModifiedBy>
  <cp:revision>5</cp:revision>
  <dcterms:created xsi:type="dcterms:W3CDTF">2015-12-30T16:31:00Z</dcterms:created>
  <dcterms:modified xsi:type="dcterms:W3CDTF">2016-05-19T15:51:00Z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_Steward">
    <vt:lpwstr>Fedczak J u759257</vt:lpwstr>
  </property>
  <property fmtid="{D5CDD505-2E9C-101B-9397-08002B2CF9AE}" pid="3" name="Update_Footer">
    <vt:lpwstr>No</vt:lpwstr>
  </property>
  <property fmtid="{D5CDD505-2E9C-101B-9397-08002B2CF9AE}" pid="4" name="Radio_Button">
    <vt:lpwstr>RadioButton2</vt:lpwstr>
  </property>
  <property fmtid="{D5CDD505-2E9C-101B-9397-08002B2CF9AE}" pid="5" name="Information_Classification">
    <vt:lpwstr/>
  </property>
  <property fmtid="{D5CDD505-2E9C-101B-9397-08002B2CF9AE}" pid="6" name="Record_Title_ID">
    <vt:lpwstr>72</vt:lpwstr>
  </property>
  <property fmtid="{D5CDD505-2E9C-101B-9397-08002B2CF9AE}" pid="7" name="Initial_Creation_Date">
    <vt:filetime>2015-12-30T16:30:59Z</vt:filetime>
  </property>
  <property fmtid="{D5CDD505-2E9C-101B-9397-08002B2CF9AE}" pid="8" name="Retention_Period_Start_Date">
    <vt:filetime>2016-05-19T15:51:22Z</vt:filetime>
  </property>
  <property fmtid="{D5CDD505-2E9C-101B-9397-08002B2CF9AE}" pid="9" name="Last_Reviewed_Date">
    <vt:lpwstr/>
  </property>
  <property fmtid="{D5CDD505-2E9C-101B-9397-08002B2CF9AE}" pid="10" name="Retention_Review_Frequency">
    <vt:lpwstr/>
  </property>
</Properties>
</file>